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7B534" w14:textId="7C238C7A" w:rsidR="00E87A5D" w:rsidRPr="00CF490A" w:rsidRDefault="00E87A5D" w:rsidP="00CF490A">
      <w:pPr>
        <w:contextualSpacing/>
        <w:jc w:val="both"/>
        <w:rPr>
          <w:rFonts w:asciiTheme="minorHAnsi" w:hAnsiTheme="minorHAnsi" w:cstheme="minorHAnsi"/>
          <w:b/>
          <w:bCs/>
          <w:color w:val="00A399"/>
          <w:sz w:val="24"/>
          <w:szCs w:val="24"/>
        </w:rPr>
      </w:pPr>
      <w:bookmarkStart w:id="0" w:name="_GoBack"/>
      <w:bookmarkEnd w:id="0"/>
      <w:r w:rsidRPr="00CF490A">
        <w:rPr>
          <w:rFonts w:asciiTheme="minorHAnsi" w:hAnsiTheme="minorHAnsi" w:cstheme="minorHAnsi"/>
          <w:b/>
          <w:bCs/>
          <w:color w:val="00A399"/>
          <w:sz w:val="24"/>
          <w:szCs w:val="24"/>
        </w:rPr>
        <w:t xml:space="preserve">High Level Audit Considerations </w:t>
      </w:r>
    </w:p>
    <w:p w14:paraId="7AD11529" w14:textId="77777777" w:rsidR="00E87A5D" w:rsidRPr="00CF490A" w:rsidRDefault="00E87A5D" w:rsidP="00CF490A">
      <w:pPr>
        <w:contextualSpacing/>
        <w:jc w:val="both"/>
        <w:rPr>
          <w:rFonts w:asciiTheme="minorHAnsi" w:hAnsiTheme="minorHAnsi" w:cstheme="minorHAnsi"/>
          <w:b/>
          <w:bCs/>
          <w:color w:val="00A399"/>
          <w:sz w:val="24"/>
          <w:szCs w:val="24"/>
        </w:rPr>
      </w:pPr>
    </w:p>
    <w:p w14:paraId="0924FAAF" w14:textId="0051605D" w:rsidR="004B7422" w:rsidRPr="00CF490A" w:rsidRDefault="004B7422" w:rsidP="00CF490A">
      <w:pPr>
        <w:contextualSpacing/>
        <w:jc w:val="both"/>
        <w:rPr>
          <w:rFonts w:asciiTheme="minorHAnsi" w:hAnsiTheme="minorHAnsi" w:cstheme="minorHAnsi"/>
          <w:b/>
          <w:bCs/>
          <w:color w:val="00A399"/>
          <w:sz w:val="24"/>
          <w:szCs w:val="24"/>
        </w:rPr>
      </w:pPr>
      <w:r w:rsidRPr="00CF490A">
        <w:rPr>
          <w:rFonts w:asciiTheme="minorHAnsi" w:hAnsiTheme="minorHAnsi" w:cstheme="minorHAnsi"/>
          <w:b/>
          <w:bCs/>
          <w:color w:val="00A399"/>
          <w:sz w:val="24"/>
          <w:szCs w:val="24"/>
        </w:rPr>
        <w:t xml:space="preserve">STAGE 1:  </w:t>
      </w:r>
      <w:r w:rsidR="0046103F" w:rsidRPr="00CF490A">
        <w:rPr>
          <w:rFonts w:asciiTheme="minorHAnsi" w:hAnsiTheme="minorHAnsi" w:cstheme="minorHAnsi"/>
          <w:b/>
          <w:bCs/>
          <w:color w:val="00A399"/>
          <w:sz w:val="24"/>
          <w:szCs w:val="24"/>
        </w:rPr>
        <w:t xml:space="preserve">Policies and Legal </w:t>
      </w:r>
      <w:r w:rsidR="00E87A5D" w:rsidRPr="00CF490A">
        <w:rPr>
          <w:rFonts w:asciiTheme="minorHAnsi" w:hAnsiTheme="minorHAnsi" w:cstheme="minorHAnsi"/>
          <w:b/>
          <w:bCs/>
          <w:color w:val="00A399"/>
          <w:sz w:val="24"/>
          <w:szCs w:val="24"/>
        </w:rPr>
        <w:t>F</w:t>
      </w:r>
      <w:r w:rsidR="0046103F" w:rsidRPr="00CF490A">
        <w:rPr>
          <w:rFonts w:asciiTheme="minorHAnsi" w:hAnsiTheme="minorHAnsi" w:cstheme="minorHAnsi"/>
          <w:b/>
          <w:bCs/>
          <w:color w:val="00A399"/>
          <w:sz w:val="24"/>
          <w:szCs w:val="24"/>
        </w:rPr>
        <w:t xml:space="preserve">ramework </w:t>
      </w:r>
    </w:p>
    <w:p w14:paraId="421C96DB" w14:textId="77777777" w:rsidR="004B7422" w:rsidRPr="00CF490A" w:rsidRDefault="004B7422" w:rsidP="00CF490A">
      <w:pPr>
        <w:contextualSpacing/>
        <w:jc w:val="both"/>
        <w:rPr>
          <w:rFonts w:asciiTheme="minorHAnsi" w:hAnsiTheme="minorHAnsi" w:cstheme="minorHAnsi"/>
          <w:b/>
          <w:color w:val="000000"/>
          <w:sz w:val="24"/>
          <w:szCs w:val="24"/>
        </w:rPr>
      </w:pPr>
    </w:p>
    <w:tbl>
      <w:tblPr>
        <w:tblStyle w:val="TableGrid0"/>
        <w:tblW w:w="9235" w:type="dxa"/>
        <w:tblInd w:w="-96" w:type="dxa"/>
        <w:tblCellMar>
          <w:top w:w="7" w:type="dxa"/>
          <w:left w:w="108" w:type="dxa"/>
          <w:right w:w="54" w:type="dxa"/>
        </w:tblCellMar>
        <w:tblLook w:val="04A0" w:firstRow="1" w:lastRow="0" w:firstColumn="1" w:lastColumn="0" w:noHBand="0" w:noVBand="1"/>
      </w:tblPr>
      <w:tblGrid>
        <w:gridCol w:w="1379"/>
        <w:gridCol w:w="7856"/>
      </w:tblGrid>
      <w:tr w:rsidR="004B7422" w:rsidRPr="00CF490A" w14:paraId="40ABD865" w14:textId="77777777" w:rsidTr="001E4372">
        <w:trPr>
          <w:trHeight w:val="1074"/>
          <w:tblHeader/>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7708D5A" w14:textId="77777777" w:rsidR="004B7422" w:rsidRPr="00CF490A" w:rsidRDefault="004B7422" w:rsidP="00CF490A">
            <w:pPr>
              <w:contextualSpacing/>
              <w:jc w:val="both"/>
              <w:rPr>
                <w:rFonts w:asciiTheme="minorHAnsi" w:hAnsiTheme="minorHAnsi" w:cstheme="minorHAnsi"/>
                <w:color w:val="FFFFFF" w:themeColor="background1"/>
                <w:sz w:val="24"/>
                <w:szCs w:val="24"/>
              </w:rPr>
            </w:pPr>
          </w:p>
        </w:tc>
        <w:tc>
          <w:tcPr>
            <w:tcW w:w="7856" w:type="dxa"/>
            <w:tcBorders>
              <w:top w:val="single" w:sz="4" w:space="0" w:color="000000"/>
              <w:left w:val="single" w:sz="4" w:space="0" w:color="000000"/>
              <w:bottom w:val="single" w:sz="4" w:space="0" w:color="000000"/>
              <w:right w:val="single" w:sz="4" w:space="0" w:color="000000"/>
            </w:tcBorders>
            <w:shd w:val="clear" w:color="auto" w:fill="CCE5E4" w:themeFill="background2" w:themeFillTint="66"/>
            <w:vAlign w:val="center"/>
          </w:tcPr>
          <w:p w14:paraId="43EB9B26" w14:textId="39F5087F" w:rsidR="004B7422" w:rsidRPr="00CF490A" w:rsidRDefault="004B7422" w:rsidP="00CF490A">
            <w:pPr>
              <w:ind w:left="20" w:right="-10"/>
              <w:contextualSpacing/>
              <w:jc w:val="both"/>
              <w:rPr>
                <w:rFonts w:asciiTheme="minorHAnsi" w:hAnsiTheme="minorHAnsi" w:cstheme="minorHAnsi"/>
                <w:b/>
                <w:sz w:val="24"/>
                <w:szCs w:val="24"/>
                <w:lang w:val="en-ZA"/>
              </w:rPr>
            </w:pPr>
            <w:r w:rsidRPr="00CF490A">
              <w:rPr>
                <w:rFonts w:asciiTheme="minorHAnsi" w:hAnsiTheme="minorHAnsi" w:cstheme="minorHAnsi"/>
                <w:b/>
                <w:sz w:val="24"/>
                <w:szCs w:val="24"/>
              </w:rPr>
              <w:t>The SAI needs to do a thorough mapping of the legal framework to establish the following:</w:t>
            </w:r>
          </w:p>
        </w:tc>
      </w:tr>
      <w:tr w:rsidR="004B7422" w:rsidRPr="00CF490A" w14:paraId="6B6702BD" w14:textId="77777777" w:rsidTr="001E4372">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B99817F" w14:textId="77777777" w:rsidR="004B7422" w:rsidRPr="00CF490A" w:rsidRDefault="004B7422"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1</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09A0B4" w14:textId="6E6F0146" w:rsidR="004B7422" w:rsidRPr="00CF490A" w:rsidRDefault="004B7422" w:rsidP="00CF490A">
            <w:pPr>
              <w:pStyle w:val="Default"/>
              <w:contextualSpacing/>
              <w:jc w:val="both"/>
              <w:rPr>
                <w:rFonts w:asciiTheme="minorHAnsi" w:hAnsiTheme="minorHAnsi" w:cstheme="minorHAnsi"/>
              </w:rPr>
            </w:pPr>
            <w:r w:rsidRPr="00CF490A">
              <w:rPr>
                <w:rFonts w:asciiTheme="minorHAnsi" w:hAnsiTheme="minorHAnsi" w:cstheme="minorHAnsi"/>
              </w:rPr>
              <w:t xml:space="preserve">What are the legal requirements of the government's management of the extractive sector? A mapping of the legal framework is a prerequisite for developing an audit programme. </w:t>
            </w:r>
          </w:p>
        </w:tc>
      </w:tr>
      <w:tr w:rsidR="004B7422" w:rsidRPr="00CF490A" w14:paraId="221BA161" w14:textId="77777777" w:rsidTr="001E4372">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69E0F57C" w14:textId="77777777" w:rsidR="004B7422" w:rsidRPr="00CF490A" w:rsidRDefault="004B7422"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2</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367461" w14:textId="1A8EAC27" w:rsidR="004B7422" w:rsidRPr="00CF490A" w:rsidRDefault="004B7422" w:rsidP="00CF490A">
            <w:pPr>
              <w:pStyle w:val="Default"/>
              <w:contextualSpacing/>
              <w:jc w:val="both"/>
              <w:rPr>
                <w:rFonts w:asciiTheme="minorHAnsi" w:hAnsiTheme="minorHAnsi" w:cstheme="minorHAnsi"/>
              </w:rPr>
            </w:pPr>
            <w:r w:rsidRPr="00CF490A">
              <w:rPr>
                <w:rFonts w:asciiTheme="minorHAnsi" w:hAnsiTheme="minorHAnsi" w:cstheme="minorHAnsi"/>
              </w:rPr>
              <w:t xml:space="preserve">How is the role of the SAI spelled out in the legislation? The SAI may be given a direct role in e.g. verifying the recoverable costs and receiving declarations of assets from officials. </w:t>
            </w:r>
          </w:p>
        </w:tc>
      </w:tr>
      <w:tr w:rsidR="004B7422" w:rsidRPr="00CF490A" w14:paraId="29E949F2" w14:textId="77777777" w:rsidTr="001E4372">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90ACEB2" w14:textId="77777777" w:rsidR="004B7422" w:rsidRPr="00CF490A" w:rsidRDefault="004B7422"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3</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3F05F4" w14:textId="77777777" w:rsidR="004B7422" w:rsidRPr="00CF490A" w:rsidRDefault="004B7422" w:rsidP="00CF490A">
            <w:pPr>
              <w:pStyle w:val="Default"/>
              <w:contextualSpacing/>
              <w:jc w:val="both"/>
              <w:rPr>
                <w:rFonts w:asciiTheme="minorHAnsi" w:hAnsiTheme="minorHAnsi" w:cstheme="minorHAnsi"/>
              </w:rPr>
            </w:pPr>
            <w:r w:rsidRPr="00CF490A">
              <w:rPr>
                <w:rFonts w:asciiTheme="minorHAnsi" w:hAnsiTheme="minorHAnsi" w:cstheme="minorHAnsi"/>
              </w:rPr>
              <w:t xml:space="preserve">Is the legal framework effective and appropriate for ensuring management of the EI sector in line with the decisions and intentions of Parliament? Are the government’s policies and policy instruments effective and appropriate for following up on the EI related decisions and intentions of Parliament? </w:t>
            </w:r>
          </w:p>
          <w:p w14:paraId="4EA84EF1" w14:textId="4DDB7B1A" w:rsidR="004B7422" w:rsidRPr="00CF490A" w:rsidRDefault="004B7422" w:rsidP="00CF490A">
            <w:pPr>
              <w:ind w:right="57"/>
              <w:contextualSpacing/>
              <w:jc w:val="both"/>
              <w:rPr>
                <w:rFonts w:asciiTheme="minorHAnsi" w:hAnsiTheme="minorHAnsi" w:cstheme="minorHAnsi"/>
                <w:sz w:val="24"/>
                <w:szCs w:val="24"/>
                <w:lang w:val="en-ZA"/>
              </w:rPr>
            </w:pPr>
          </w:p>
        </w:tc>
      </w:tr>
      <w:tr w:rsidR="004B7422" w:rsidRPr="00CF490A" w14:paraId="4DE7754D" w14:textId="77777777" w:rsidTr="001E4372">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75C68CF2" w14:textId="77777777" w:rsidR="004B7422" w:rsidRPr="00CF490A" w:rsidRDefault="004B7422"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4</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1A1D6B" w14:textId="3390C19B" w:rsidR="004B7422" w:rsidRPr="00CF490A" w:rsidRDefault="004B7422"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The legal framework constitutes the bulk of policy that is approved by Parliament. The implementation of those policies presents many possibilities for performance/value-for-money audits. The SAI can review the framework and attempt to identify performance audit themes, based on Parliament's intentions when improving the legal framework. </w:t>
            </w:r>
          </w:p>
        </w:tc>
      </w:tr>
      <w:tr w:rsidR="004B7422" w:rsidRPr="00CF490A" w14:paraId="1D02A01D" w14:textId="77777777" w:rsidTr="001E4372">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38BE63C" w14:textId="77777777" w:rsidR="004B7422" w:rsidRPr="00CF490A" w:rsidRDefault="004B7422"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5</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0C6EC6" w14:textId="536035CB" w:rsidR="004B7422" w:rsidRPr="00CF490A" w:rsidRDefault="004B7422" w:rsidP="00CF490A">
            <w:pPr>
              <w:pStyle w:val="Default"/>
              <w:contextualSpacing/>
              <w:jc w:val="both"/>
              <w:rPr>
                <w:rFonts w:asciiTheme="minorHAnsi" w:hAnsiTheme="minorHAnsi" w:cstheme="minorHAnsi"/>
              </w:rPr>
            </w:pPr>
            <w:r w:rsidRPr="00CF490A">
              <w:rPr>
                <w:rFonts w:asciiTheme="minorHAnsi" w:hAnsiTheme="minorHAnsi" w:cstheme="minorHAnsi"/>
              </w:rPr>
              <w:t xml:space="preserve">Auditors may also consider contracts that influence government reporting, e.g. an agreement with EITI as a member country. </w:t>
            </w:r>
          </w:p>
        </w:tc>
      </w:tr>
      <w:tr w:rsidR="004B7422" w:rsidRPr="00CF490A" w14:paraId="56DE80CA" w14:textId="77777777" w:rsidTr="001E4372">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08C52785" w14:textId="77777777" w:rsidR="004B7422" w:rsidRPr="00CF490A" w:rsidRDefault="004B7422"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6</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1B3704" w14:textId="5014FEFD" w:rsidR="004B7422" w:rsidRPr="00CF490A" w:rsidRDefault="004B7422"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The auditors may also consider </w:t>
            </w:r>
            <w:r w:rsidRPr="00CF490A">
              <w:rPr>
                <w:rFonts w:asciiTheme="minorHAnsi" w:hAnsiTheme="minorHAnsi" w:cstheme="minorHAnsi"/>
                <w:color w:val="0000FF"/>
              </w:rPr>
              <w:t xml:space="preserve">chapter 5 of EI sourcebook </w:t>
            </w:r>
            <w:r w:rsidRPr="00CF490A">
              <w:rPr>
                <w:rFonts w:asciiTheme="minorHAnsi" w:hAnsiTheme="minorHAnsi" w:cstheme="minorHAnsi"/>
              </w:rPr>
              <w:t xml:space="preserve">on Policies, Legal and Contractual Framework as the information might be useful for gaining more knowledge about the topic and could be helpful in auditing. </w:t>
            </w:r>
          </w:p>
          <w:p w14:paraId="0E89C886" w14:textId="3F3D0729" w:rsidR="004B7422" w:rsidRPr="00CF490A" w:rsidRDefault="004B7422" w:rsidP="00CF490A">
            <w:pPr>
              <w:ind w:right="56"/>
              <w:contextualSpacing/>
              <w:jc w:val="both"/>
              <w:rPr>
                <w:rFonts w:asciiTheme="minorHAnsi" w:hAnsiTheme="minorHAnsi" w:cstheme="minorHAnsi"/>
                <w:sz w:val="24"/>
                <w:szCs w:val="24"/>
                <w:lang w:val="en-ZA"/>
              </w:rPr>
            </w:pPr>
          </w:p>
        </w:tc>
      </w:tr>
    </w:tbl>
    <w:p w14:paraId="2E70494C" w14:textId="77777777" w:rsidR="004B7422" w:rsidRPr="00CF490A" w:rsidRDefault="004B7422" w:rsidP="00CF490A">
      <w:pPr>
        <w:contextualSpacing/>
        <w:jc w:val="both"/>
        <w:rPr>
          <w:rFonts w:asciiTheme="minorHAnsi" w:hAnsiTheme="minorHAnsi" w:cstheme="minorHAnsi"/>
          <w:b/>
          <w:color w:val="000000"/>
          <w:sz w:val="24"/>
          <w:szCs w:val="24"/>
        </w:rPr>
      </w:pPr>
    </w:p>
    <w:p w14:paraId="5EAC8B96" w14:textId="77777777" w:rsidR="004B7422" w:rsidRPr="00CF490A" w:rsidRDefault="004B7422" w:rsidP="00CF490A">
      <w:pPr>
        <w:contextualSpacing/>
        <w:jc w:val="both"/>
        <w:rPr>
          <w:rFonts w:asciiTheme="minorHAnsi" w:hAnsiTheme="minorHAnsi" w:cstheme="minorHAnsi"/>
          <w:b/>
          <w:color w:val="000000"/>
          <w:sz w:val="24"/>
          <w:szCs w:val="24"/>
        </w:rPr>
      </w:pPr>
    </w:p>
    <w:p w14:paraId="24F1D95C" w14:textId="77777777" w:rsidR="004B7422" w:rsidRPr="00CF490A" w:rsidRDefault="004B7422" w:rsidP="00CF490A">
      <w:pPr>
        <w:contextualSpacing/>
        <w:jc w:val="both"/>
        <w:rPr>
          <w:rFonts w:asciiTheme="minorHAnsi" w:hAnsiTheme="minorHAnsi" w:cstheme="minorHAnsi"/>
          <w:b/>
          <w:color w:val="000000"/>
          <w:sz w:val="24"/>
          <w:szCs w:val="24"/>
        </w:rPr>
      </w:pPr>
    </w:p>
    <w:p w14:paraId="5B961076" w14:textId="77777777" w:rsidR="004B7422" w:rsidRPr="00CF490A" w:rsidRDefault="004B7422" w:rsidP="00CF490A">
      <w:pPr>
        <w:contextualSpacing/>
        <w:jc w:val="both"/>
        <w:rPr>
          <w:rFonts w:asciiTheme="minorHAnsi" w:hAnsiTheme="minorHAnsi" w:cstheme="minorHAnsi"/>
          <w:b/>
          <w:color w:val="000000"/>
          <w:sz w:val="24"/>
          <w:szCs w:val="24"/>
        </w:rPr>
      </w:pPr>
    </w:p>
    <w:p w14:paraId="23A9C00B" w14:textId="3D5308A8" w:rsidR="004B7422" w:rsidRPr="00CF490A" w:rsidRDefault="004B7422" w:rsidP="00CF490A">
      <w:pPr>
        <w:contextualSpacing/>
        <w:jc w:val="both"/>
        <w:rPr>
          <w:rFonts w:asciiTheme="minorHAnsi" w:hAnsiTheme="minorHAnsi" w:cstheme="minorHAnsi"/>
          <w:b/>
          <w:color w:val="000000"/>
          <w:sz w:val="24"/>
          <w:szCs w:val="24"/>
        </w:rPr>
      </w:pPr>
    </w:p>
    <w:p w14:paraId="357FFBAF" w14:textId="22C2FB33" w:rsidR="00E87A5D" w:rsidRPr="00CF490A" w:rsidRDefault="00E87A5D" w:rsidP="00CF490A">
      <w:pPr>
        <w:contextualSpacing/>
        <w:jc w:val="both"/>
        <w:rPr>
          <w:rFonts w:asciiTheme="minorHAnsi" w:hAnsiTheme="minorHAnsi" w:cstheme="minorHAnsi"/>
          <w:b/>
          <w:color w:val="000000"/>
          <w:sz w:val="24"/>
          <w:szCs w:val="24"/>
        </w:rPr>
      </w:pPr>
    </w:p>
    <w:p w14:paraId="2D2B9491" w14:textId="2CFC8876" w:rsidR="00896C27" w:rsidRPr="00CF490A" w:rsidRDefault="00896C27" w:rsidP="00CF490A">
      <w:pPr>
        <w:contextualSpacing/>
        <w:jc w:val="both"/>
        <w:rPr>
          <w:rFonts w:asciiTheme="minorHAnsi" w:hAnsiTheme="minorHAnsi" w:cstheme="minorHAnsi"/>
          <w:b/>
          <w:color w:val="000000"/>
          <w:sz w:val="24"/>
          <w:szCs w:val="24"/>
        </w:rPr>
      </w:pPr>
    </w:p>
    <w:p w14:paraId="6F0BD6EE" w14:textId="34414DEA" w:rsidR="00CF490A" w:rsidRPr="00CF490A" w:rsidRDefault="00CF490A" w:rsidP="00CF490A">
      <w:pPr>
        <w:contextualSpacing/>
        <w:jc w:val="both"/>
        <w:rPr>
          <w:rFonts w:asciiTheme="minorHAnsi" w:hAnsiTheme="minorHAnsi" w:cstheme="minorHAnsi"/>
          <w:b/>
          <w:color w:val="000000"/>
          <w:sz w:val="24"/>
          <w:szCs w:val="24"/>
        </w:rPr>
      </w:pPr>
    </w:p>
    <w:p w14:paraId="4856E1C0" w14:textId="481F5120" w:rsidR="00CF490A" w:rsidRPr="00CF490A" w:rsidRDefault="00CF490A" w:rsidP="00CF490A">
      <w:pPr>
        <w:contextualSpacing/>
        <w:jc w:val="both"/>
        <w:rPr>
          <w:rFonts w:asciiTheme="minorHAnsi" w:hAnsiTheme="minorHAnsi" w:cstheme="minorHAnsi"/>
          <w:b/>
          <w:color w:val="000000"/>
          <w:sz w:val="24"/>
          <w:szCs w:val="24"/>
        </w:rPr>
      </w:pPr>
    </w:p>
    <w:p w14:paraId="74781250" w14:textId="3D637129" w:rsidR="00CF490A" w:rsidRPr="00CF490A" w:rsidRDefault="00CF490A" w:rsidP="00CF490A">
      <w:pPr>
        <w:contextualSpacing/>
        <w:jc w:val="both"/>
        <w:rPr>
          <w:rFonts w:asciiTheme="minorHAnsi" w:hAnsiTheme="minorHAnsi" w:cstheme="minorHAnsi"/>
          <w:b/>
          <w:color w:val="000000"/>
          <w:sz w:val="24"/>
          <w:szCs w:val="24"/>
        </w:rPr>
      </w:pPr>
    </w:p>
    <w:p w14:paraId="2AF91387" w14:textId="306EEF85" w:rsidR="00CF490A" w:rsidRPr="00CF490A" w:rsidRDefault="00CF490A" w:rsidP="00CF490A">
      <w:pPr>
        <w:contextualSpacing/>
        <w:jc w:val="both"/>
        <w:rPr>
          <w:rFonts w:asciiTheme="minorHAnsi" w:hAnsiTheme="minorHAnsi" w:cstheme="minorHAnsi"/>
          <w:b/>
          <w:color w:val="000000"/>
          <w:sz w:val="24"/>
          <w:szCs w:val="24"/>
        </w:rPr>
      </w:pPr>
    </w:p>
    <w:p w14:paraId="2AE7941D" w14:textId="1129EB5D" w:rsidR="00CF490A" w:rsidRPr="00CF490A" w:rsidRDefault="00CF490A" w:rsidP="00CF490A">
      <w:pPr>
        <w:contextualSpacing/>
        <w:jc w:val="both"/>
        <w:rPr>
          <w:rFonts w:asciiTheme="minorHAnsi" w:hAnsiTheme="minorHAnsi" w:cstheme="minorHAnsi"/>
          <w:b/>
          <w:color w:val="000000"/>
          <w:sz w:val="24"/>
          <w:szCs w:val="24"/>
        </w:rPr>
      </w:pPr>
    </w:p>
    <w:p w14:paraId="10370590" w14:textId="77777777" w:rsidR="00CF490A" w:rsidRPr="00CF490A" w:rsidRDefault="00CF490A" w:rsidP="00CF490A">
      <w:pPr>
        <w:contextualSpacing/>
        <w:jc w:val="both"/>
        <w:rPr>
          <w:rFonts w:asciiTheme="minorHAnsi" w:hAnsiTheme="minorHAnsi" w:cstheme="minorHAnsi"/>
          <w:b/>
          <w:color w:val="000000"/>
          <w:sz w:val="24"/>
          <w:szCs w:val="24"/>
        </w:rPr>
      </w:pPr>
    </w:p>
    <w:p w14:paraId="35D2200F" w14:textId="57A0A619" w:rsidR="00F27095" w:rsidRPr="00CF490A" w:rsidRDefault="004B7422" w:rsidP="00CF490A">
      <w:pPr>
        <w:contextualSpacing/>
        <w:jc w:val="both"/>
        <w:rPr>
          <w:rFonts w:asciiTheme="minorHAnsi" w:hAnsiTheme="minorHAnsi" w:cstheme="minorHAnsi"/>
          <w:b/>
          <w:bCs/>
          <w:color w:val="00A399"/>
          <w:sz w:val="24"/>
          <w:szCs w:val="24"/>
        </w:rPr>
      </w:pPr>
      <w:r w:rsidRPr="00CF490A">
        <w:rPr>
          <w:rFonts w:asciiTheme="minorHAnsi" w:hAnsiTheme="minorHAnsi" w:cstheme="minorHAnsi"/>
          <w:b/>
          <w:bCs/>
          <w:color w:val="00A399"/>
          <w:sz w:val="24"/>
          <w:szCs w:val="24"/>
        </w:rPr>
        <w:lastRenderedPageBreak/>
        <w:t xml:space="preserve">STAGE 3: </w:t>
      </w:r>
      <w:r w:rsidR="000B2DD4" w:rsidRPr="00CF490A">
        <w:rPr>
          <w:rFonts w:asciiTheme="minorHAnsi" w:hAnsiTheme="minorHAnsi" w:cstheme="minorHAnsi"/>
          <w:b/>
          <w:bCs/>
          <w:color w:val="00A399"/>
          <w:sz w:val="24"/>
          <w:szCs w:val="24"/>
        </w:rPr>
        <w:t xml:space="preserve">Award of </w:t>
      </w:r>
      <w:r w:rsidR="00E87A5D" w:rsidRPr="00CF490A">
        <w:rPr>
          <w:rFonts w:asciiTheme="minorHAnsi" w:hAnsiTheme="minorHAnsi" w:cstheme="minorHAnsi"/>
          <w:b/>
          <w:bCs/>
          <w:color w:val="00A399"/>
          <w:sz w:val="24"/>
          <w:szCs w:val="24"/>
        </w:rPr>
        <w:t>C</w:t>
      </w:r>
      <w:r w:rsidR="000B2DD4" w:rsidRPr="00CF490A">
        <w:rPr>
          <w:rFonts w:asciiTheme="minorHAnsi" w:hAnsiTheme="minorHAnsi" w:cstheme="minorHAnsi"/>
          <w:b/>
          <w:bCs/>
          <w:color w:val="00A399"/>
          <w:sz w:val="24"/>
          <w:szCs w:val="24"/>
        </w:rPr>
        <w:t xml:space="preserve">ontracts and </w:t>
      </w:r>
      <w:r w:rsidR="00E87A5D" w:rsidRPr="00CF490A">
        <w:rPr>
          <w:rFonts w:asciiTheme="minorHAnsi" w:hAnsiTheme="minorHAnsi" w:cstheme="minorHAnsi"/>
          <w:b/>
          <w:bCs/>
          <w:color w:val="00A399"/>
          <w:sz w:val="24"/>
          <w:szCs w:val="24"/>
        </w:rPr>
        <w:t>L</w:t>
      </w:r>
      <w:r w:rsidR="000B2DD4" w:rsidRPr="00CF490A">
        <w:rPr>
          <w:rFonts w:asciiTheme="minorHAnsi" w:hAnsiTheme="minorHAnsi" w:cstheme="minorHAnsi"/>
          <w:b/>
          <w:bCs/>
          <w:color w:val="00A399"/>
          <w:sz w:val="24"/>
          <w:szCs w:val="24"/>
        </w:rPr>
        <w:t xml:space="preserve">icences </w:t>
      </w:r>
    </w:p>
    <w:p w14:paraId="7E4E96D2" w14:textId="77777777" w:rsidR="000B2DD4" w:rsidRPr="00CF490A" w:rsidRDefault="000B2DD4" w:rsidP="00CF490A">
      <w:pPr>
        <w:contextualSpacing/>
        <w:jc w:val="both"/>
        <w:rPr>
          <w:rFonts w:asciiTheme="minorHAnsi" w:hAnsiTheme="minorHAnsi" w:cstheme="minorHAnsi"/>
          <w:b/>
          <w:color w:val="505150" w:themeColor="text1"/>
          <w:sz w:val="24"/>
          <w:szCs w:val="24"/>
        </w:rPr>
      </w:pPr>
    </w:p>
    <w:tbl>
      <w:tblPr>
        <w:tblStyle w:val="TableGrid0"/>
        <w:tblW w:w="9235" w:type="dxa"/>
        <w:tblInd w:w="-96" w:type="dxa"/>
        <w:tblCellMar>
          <w:top w:w="7" w:type="dxa"/>
          <w:left w:w="108" w:type="dxa"/>
          <w:right w:w="54" w:type="dxa"/>
        </w:tblCellMar>
        <w:tblLook w:val="04A0" w:firstRow="1" w:lastRow="0" w:firstColumn="1" w:lastColumn="0" w:noHBand="0" w:noVBand="1"/>
      </w:tblPr>
      <w:tblGrid>
        <w:gridCol w:w="1379"/>
        <w:gridCol w:w="7856"/>
      </w:tblGrid>
      <w:tr w:rsidR="000B2DD4" w:rsidRPr="00CF490A" w14:paraId="03C1022A" w14:textId="77777777" w:rsidTr="004C5CFF">
        <w:trPr>
          <w:trHeight w:val="1074"/>
          <w:tblHeader/>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94BE085" w14:textId="77777777" w:rsidR="000B2DD4" w:rsidRPr="00CF490A" w:rsidRDefault="000B2DD4" w:rsidP="00CF490A">
            <w:pPr>
              <w:contextualSpacing/>
              <w:jc w:val="both"/>
              <w:rPr>
                <w:rFonts w:asciiTheme="minorHAnsi" w:hAnsiTheme="minorHAnsi" w:cstheme="minorHAnsi"/>
                <w:color w:val="FFFFFF" w:themeColor="background1"/>
                <w:sz w:val="24"/>
                <w:szCs w:val="24"/>
              </w:rPr>
            </w:pPr>
          </w:p>
        </w:tc>
        <w:tc>
          <w:tcPr>
            <w:tcW w:w="7856" w:type="dxa"/>
            <w:tcBorders>
              <w:top w:val="single" w:sz="4" w:space="0" w:color="000000"/>
              <w:left w:val="single" w:sz="4" w:space="0" w:color="000000"/>
              <w:bottom w:val="single" w:sz="4" w:space="0" w:color="000000"/>
              <w:right w:val="single" w:sz="4" w:space="0" w:color="000000"/>
            </w:tcBorders>
            <w:shd w:val="clear" w:color="auto" w:fill="CCE5E4" w:themeFill="background2" w:themeFillTint="66"/>
            <w:vAlign w:val="center"/>
          </w:tcPr>
          <w:p w14:paraId="7EF12262" w14:textId="00137314" w:rsidR="000B2DD4" w:rsidRPr="00CF490A" w:rsidRDefault="000B2DD4" w:rsidP="00CF490A">
            <w:pPr>
              <w:ind w:left="20" w:right="-10"/>
              <w:contextualSpacing/>
              <w:jc w:val="both"/>
              <w:rPr>
                <w:rFonts w:asciiTheme="minorHAnsi" w:hAnsiTheme="minorHAnsi" w:cstheme="minorHAnsi"/>
                <w:b/>
                <w:sz w:val="24"/>
                <w:szCs w:val="24"/>
                <w:lang w:val="en-ZA"/>
              </w:rPr>
            </w:pPr>
            <w:r w:rsidRPr="00CF490A">
              <w:rPr>
                <w:rFonts w:asciiTheme="minorHAnsi" w:hAnsiTheme="minorHAnsi" w:cstheme="minorHAnsi"/>
                <w:b/>
                <w:sz w:val="24"/>
                <w:szCs w:val="24"/>
                <w:lang w:val="en-ZA"/>
              </w:rPr>
              <w:t>The SAI should assess whether:</w:t>
            </w:r>
          </w:p>
        </w:tc>
      </w:tr>
      <w:tr w:rsidR="00F27095" w:rsidRPr="00CF490A" w14:paraId="6ED388E8" w14:textId="77777777" w:rsidTr="004C5CFF">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82555B7" w14:textId="7DABB1BA" w:rsidR="00F27095" w:rsidRPr="00CF490A" w:rsidRDefault="000B2DD4"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1</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AE17CA" w14:textId="17D6C934" w:rsidR="00F27095" w:rsidRPr="00CF490A" w:rsidRDefault="004C5CFF" w:rsidP="00CF490A">
            <w:pPr>
              <w:ind w:right="59"/>
              <w:contextualSpacing/>
              <w:jc w:val="both"/>
              <w:rPr>
                <w:rFonts w:asciiTheme="minorHAnsi" w:hAnsiTheme="minorHAnsi" w:cstheme="minorHAnsi"/>
                <w:sz w:val="24"/>
                <w:szCs w:val="24"/>
                <w:lang w:val="en-ZA"/>
              </w:rPr>
            </w:pPr>
            <w:r w:rsidRPr="00CF490A">
              <w:rPr>
                <w:rFonts w:asciiTheme="minorHAnsi" w:hAnsiTheme="minorHAnsi" w:cstheme="minorHAnsi"/>
                <w:sz w:val="24"/>
                <w:szCs w:val="24"/>
                <w:lang w:val="en-ZA"/>
              </w:rPr>
              <w:t>The chosen licensee/contractor fulfils all the qualification criteria set in the legislation. It is of vital importance that the operator possesses the correct qualifications and the appropriate competence.</w:t>
            </w:r>
          </w:p>
        </w:tc>
      </w:tr>
      <w:tr w:rsidR="00F27095" w:rsidRPr="00CF490A" w14:paraId="3EEF3170" w14:textId="77777777" w:rsidTr="004C5CFF">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4381508" w14:textId="051DC2A0" w:rsidR="00F27095" w:rsidRPr="00CF490A" w:rsidRDefault="000B2DD4"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2</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ECEA8D" w14:textId="39CE69AC" w:rsidR="00F27095" w:rsidRPr="00CF490A" w:rsidRDefault="004C5CFF" w:rsidP="00CF490A">
            <w:pPr>
              <w:ind w:right="56"/>
              <w:contextualSpacing/>
              <w:jc w:val="both"/>
              <w:rPr>
                <w:rFonts w:asciiTheme="minorHAnsi" w:hAnsiTheme="minorHAnsi" w:cstheme="minorHAnsi"/>
                <w:sz w:val="24"/>
                <w:szCs w:val="24"/>
                <w:lang w:val="en-ZA"/>
              </w:rPr>
            </w:pPr>
            <w:r w:rsidRPr="00CF490A">
              <w:rPr>
                <w:rFonts w:asciiTheme="minorHAnsi" w:hAnsiTheme="minorHAnsi" w:cstheme="minorHAnsi"/>
                <w:sz w:val="24"/>
                <w:szCs w:val="24"/>
                <w:lang w:val="en-ZA"/>
              </w:rPr>
              <w:t>The contents of the minerals/petroleum agreements are in accordance with the provisions in the legislation.</w:t>
            </w:r>
          </w:p>
        </w:tc>
      </w:tr>
      <w:tr w:rsidR="00F27095" w:rsidRPr="00CF490A" w14:paraId="4F72E8D6" w14:textId="77777777" w:rsidTr="004C5CFF">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C1BAAA6" w14:textId="346A3DD3" w:rsidR="00F27095" w:rsidRPr="00CF490A" w:rsidRDefault="000B2DD4"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3</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BF6AD9" w14:textId="52D6FB45" w:rsidR="00F27095" w:rsidRPr="00CF490A" w:rsidRDefault="004C5CFF" w:rsidP="00CF490A">
            <w:pPr>
              <w:ind w:right="57"/>
              <w:contextualSpacing/>
              <w:jc w:val="both"/>
              <w:rPr>
                <w:rFonts w:asciiTheme="minorHAnsi" w:hAnsiTheme="minorHAnsi" w:cstheme="minorHAnsi"/>
                <w:sz w:val="24"/>
                <w:szCs w:val="24"/>
                <w:lang w:val="en-ZA"/>
              </w:rPr>
            </w:pPr>
            <w:r w:rsidRPr="00CF490A">
              <w:rPr>
                <w:rFonts w:asciiTheme="minorHAnsi" w:hAnsiTheme="minorHAnsi" w:cstheme="minorHAnsi"/>
                <w:sz w:val="24"/>
                <w:szCs w:val="24"/>
                <w:lang w:val="en-ZA"/>
              </w:rPr>
              <w:t>If required, the licensee/contractor(s) has set up a separate company in the country responsible for the operations.</w:t>
            </w:r>
          </w:p>
        </w:tc>
      </w:tr>
      <w:tr w:rsidR="00F27095" w:rsidRPr="00CF490A" w14:paraId="0D3DBC0C" w14:textId="77777777" w:rsidTr="004C5CFF">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0762AB6A" w14:textId="6AD290C8" w:rsidR="00F27095" w:rsidRPr="00CF490A" w:rsidRDefault="004C5CFF"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4</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477AC5" w14:textId="2F4518D6" w:rsidR="00F27095" w:rsidRPr="00CF490A" w:rsidRDefault="004C5CFF" w:rsidP="00CF490A">
            <w:pPr>
              <w:ind w:right="56"/>
              <w:contextualSpacing/>
              <w:jc w:val="both"/>
              <w:rPr>
                <w:rFonts w:asciiTheme="minorHAnsi" w:hAnsiTheme="minorHAnsi" w:cstheme="minorHAnsi"/>
                <w:sz w:val="24"/>
                <w:szCs w:val="24"/>
                <w:lang w:val="en-ZA"/>
              </w:rPr>
            </w:pPr>
            <w:r w:rsidRPr="00CF490A">
              <w:rPr>
                <w:rFonts w:asciiTheme="minorHAnsi" w:hAnsiTheme="minorHAnsi" w:cstheme="minorHAnsi"/>
                <w:sz w:val="24"/>
                <w:szCs w:val="24"/>
                <w:lang w:val="en-ZA"/>
              </w:rPr>
              <w:t>The contractor, when ending the exploration phase and moving into the development/production phase, has fulfilled all the obligations in the current commitment period as provided in the contract/licences and submitted a work programme to the government on the obligations for the next commitment period.</w:t>
            </w:r>
          </w:p>
        </w:tc>
      </w:tr>
      <w:tr w:rsidR="00F27095" w:rsidRPr="00CF490A" w14:paraId="63463B0B" w14:textId="77777777" w:rsidTr="004C5CFF">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9CB865F" w14:textId="2B092D49" w:rsidR="00F27095" w:rsidRPr="00CF490A" w:rsidRDefault="004C5CFF"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5</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857E2B" w14:textId="7AC65DA4" w:rsidR="00F27095" w:rsidRPr="00CF490A" w:rsidRDefault="004C5CFF" w:rsidP="00CF490A">
            <w:pPr>
              <w:ind w:right="53"/>
              <w:contextualSpacing/>
              <w:jc w:val="both"/>
              <w:rPr>
                <w:rFonts w:asciiTheme="minorHAnsi" w:hAnsiTheme="minorHAnsi" w:cstheme="minorHAnsi"/>
                <w:sz w:val="24"/>
                <w:szCs w:val="24"/>
                <w:lang w:val="en-ZA"/>
              </w:rPr>
            </w:pPr>
            <w:r w:rsidRPr="00CF490A">
              <w:rPr>
                <w:rFonts w:asciiTheme="minorHAnsi" w:hAnsiTheme="minorHAnsi" w:cstheme="minorHAnsi"/>
                <w:sz w:val="24"/>
                <w:szCs w:val="24"/>
                <w:lang w:val="en-ZA"/>
              </w:rPr>
              <w:t>The government takes action if the contractor does not comply with the time frames in the contract agreement.</w:t>
            </w:r>
          </w:p>
        </w:tc>
      </w:tr>
      <w:tr w:rsidR="00F27095" w:rsidRPr="00CF490A" w14:paraId="5D980E76" w14:textId="77777777" w:rsidTr="004C5CFF">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B556CA5" w14:textId="1A1B2143" w:rsidR="00F27095" w:rsidRPr="00CF490A" w:rsidRDefault="004C5CFF"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6</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0C8D5D" w14:textId="3CDD668E" w:rsidR="00F27095" w:rsidRPr="00CF490A" w:rsidRDefault="004C5CFF" w:rsidP="00CF490A">
            <w:pPr>
              <w:ind w:right="56"/>
              <w:contextualSpacing/>
              <w:jc w:val="both"/>
              <w:rPr>
                <w:rFonts w:asciiTheme="minorHAnsi" w:hAnsiTheme="minorHAnsi" w:cstheme="minorHAnsi"/>
                <w:sz w:val="24"/>
                <w:szCs w:val="24"/>
                <w:lang w:val="en-ZA"/>
              </w:rPr>
            </w:pPr>
            <w:r w:rsidRPr="00CF490A">
              <w:rPr>
                <w:rFonts w:asciiTheme="minorHAnsi" w:hAnsiTheme="minorHAnsi" w:cstheme="minorHAnsi"/>
                <w:sz w:val="24"/>
                <w:szCs w:val="24"/>
                <w:lang w:val="en-ZA"/>
              </w:rPr>
              <w:t>The contractor reports to government within the stipulated time frame after minerals/petroleum have been discovered.</w:t>
            </w:r>
          </w:p>
        </w:tc>
      </w:tr>
      <w:tr w:rsidR="004C5CFF" w:rsidRPr="00CF490A" w14:paraId="31BD2EB7" w14:textId="77777777" w:rsidTr="004C5CFF">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50FD3B7C" w14:textId="41B5E338" w:rsidR="004C5CFF" w:rsidRPr="00CF490A" w:rsidRDefault="004C5CFF"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7</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DFE767" w14:textId="1354EDBA" w:rsidR="004C5CFF" w:rsidRPr="00CF490A" w:rsidRDefault="004C5CFF" w:rsidP="00CF490A">
            <w:pPr>
              <w:ind w:right="56"/>
              <w:contextualSpacing/>
              <w:jc w:val="both"/>
              <w:rPr>
                <w:rFonts w:asciiTheme="minorHAnsi" w:hAnsiTheme="minorHAnsi" w:cstheme="minorHAnsi"/>
                <w:sz w:val="24"/>
                <w:szCs w:val="24"/>
              </w:rPr>
            </w:pPr>
            <w:r w:rsidRPr="00CF490A">
              <w:rPr>
                <w:rFonts w:asciiTheme="minorHAnsi" w:hAnsiTheme="minorHAnsi" w:cstheme="minorHAnsi"/>
                <w:sz w:val="24"/>
                <w:szCs w:val="24"/>
                <w:lang w:val="en-ZA"/>
              </w:rPr>
              <w:t>The appraisal programme has been developed in accordance with international best practices and standards.</w:t>
            </w:r>
          </w:p>
        </w:tc>
      </w:tr>
      <w:tr w:rsidR="004C5CFF" w:rsidRPr="00CF490A" w14:paraId="397F9006" w14:textId="77777777" w:rsidTr="004C5CFF">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37D017EB" w14:textId="6DC50C58" w:rsidR="004C5CFF" w:rsidRPr="00CF490A" w:rsidRDefault="004C5CFF"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8</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3265FE" w14:textId="3A87D3A1" w:rsidR="004C5CFF" w:rsidRPr="00CF490A" w:rsidRDefault="004C5CFF" w:rsidP="00CF490A">
            <w:pPr>
              <w:ind w:right="56"/>
              <w:contextualSpacing/>
              <w:jc w:val="both"/>
              <w:rPr>
                <w:rFonts w:asciiTheme="minorHAnsi" w:hAnsiTheme="minorHAnsi" w:cstheme="minorHAnsi"/>
                <w:sz w:val="24"/>
                <w:szCs w:val="24"/>
              </w:rPr>
            </w:pPr>
            <w:r w:rsidRPr="00CF490A">
              <w:rPr>
                <w:rFonts w:asciiTheme="minorHAnsi" w:hAnsiTheme="minorHAnsi" w:cstheme="minorHAnsi"/>
                <w:sz w:val="24"/>
                <w:szCs w:val="24"/>
                <w:lang w:val="en-ZA"/>
              </w:rPr>
              <w:t>The government has received a report on the activities in the appraisal period and a written declaration of commerciality.</w:t>
            </w:r>
          </w:p>
        </w:tc>
      </w:tr>
      <w:tr w:rsidR="004C5CFF" w:rsidRPr="00CF490A" w14:paraId="67A219CE" w14:textId="77777777" w:rsidTr="004C5CFF">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2B132F01" w14:textId="50C4DF82" w:rsidR="004C5CFF" w:rsidRPr="00CF490A" w:rsidRDefault="004C5CFF"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9</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FF0651" w14:textId="61DCBA1B" w:rsidR="004C5CFF" w:rsidRPr="00CF490A" w:rsidRDefault="004C5CFF" w:rsidP="00CF490A">
            <w:pPr>
              <w:ind w:right="56"/>
              <w:contextualSpacing/>
              <w:jc w:val="both"/>
              <w:rPr>
                <w:rFonts w:asciiTheme="minorHAnsi" w:hAnsiTheme="minorHAnsi" w:cstheme="minorHAnsi"/>
                <w:sz w:val="24"/>
                <w:szCs w:val="24"/>
              </w:rPr>
            </w:pPr>
            <w:r w:rsidRPr="00CF490A">
              <w:rPr>
                <w:rFonts w:asciiTheme="minorHAnsi" w:hAnsiTheme="minorHAnsi" w:cstheme="minorHAnsi"/>
                <w:sz w:val="24"/>
                <w:szCs w:val="24"/>
                <w:lang w:val="en-ZA"/>
              </w:rPr>
              <w:t>The contractor has developed environmental and sustainability impact assessments in accordance with the requirements and these are approved by the government.</w:t>
            </w:r>
          </w:p>
        </w:tc>
      </w:tr>
      <w:tr w:rsidR="004C5CFF" w:rsidRPr="00CF490A" w14:paraId="3752A046" w14:textId="77777777" w:rsidTr="004C5CFF">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09CADF1" w14:textId="77DB625C" w:rsidR="004C5CFF" w:rsidRPr="00CF490A" w:rsidRDefault="004C5CFF"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10</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C9BC88" w14:textId="7CC05D0B" w:rsidR="004C5CFF" w:rsidRPr="00CF490A" w:rsidRDefault="004C5CFF" w:rsidP="00CF490A">
            <w:pPr>
              <w:widowControl/>
              <w:tabs>
                <w:tab w:val="left" w:pos="1100"/>
              </w:tabs>
              <w:autoSpaceDE/>
              <w:autoSpaceDN/>
              <w:contextualSpacing/>
              <w:jc w:val="both"/>
              <w:rPr>
                <w:rFonts w:asciiTheme="minorHAnsi" w:hAnsiTheme="minorHAnsi" w:cstheme="minorHAnsi"/>
                <w:sz w:val="24"/>
                <w:szCs w:val="24"/>
                <w:lang w:val="en-ZA"/>
              </w:rPr>
            </w:pPr>
            <w:r w:rsidRPr="00CF490A">
              <w:rPr>
                <w:rFonts w:asciiTheme="minorHAnsi" w:hAnsiTheme="minorHAnsi" w:cstheme="minorHAnsi"/>
                <w:sz w:val="24"/>
                <w:szCs w:val="24"/>
                <w:lang w:val="en-ZA"/>
              </w:rPr>
              <w:t>The government has received a plan for development and production from the contractor and it has been thoroughly evaluated. The government should approve the plan before contracts for development and production are entered into and before construction commences.</w:t>
            </w:r>
          </w:p>
        </w:tc>
      </w:tr>
      <w:tr w:rsidR="004C5CFF" w:rsidRPr="00CF490A" w14:paraId="5CB2F043" w14:textId="77777777" w:rsidTr="004C5CFF">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2865758B" w14:textId="57B82782" w:rsidR="004C5CFF" w:rsidRPr="00CF490A" w:rsidRDefault="004C5CFF"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lastRenderedPageBreak/>
              <w:t>11</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5B17F5" w14:textId="78095CF4" w:rsidR="004C5CFF" w:rsidRPr="00CF490A" w:rsidRDefault="004C5CFF" w:rsidP="00CF490A">
            <w:pPr>
              <w:widowControl/>
              <w:tabs>
                <w:tab w:val="left" w:pos="1100"/>
              </w:tabs>
              <w:autoSpaceDE/>
              <w:autoSpaceDN/>
              <w:contextualSpacing/>
              <w:jc w:val="both"/>
              <w:rPr>
                <w:rFonts w:asciiTheme="minorHAnsi" w:hAnsiTheme="minorHAnsi" w:cstheme="minorHAnsi"/>
                <w:sz w:val="24"/>
                <w:szCs w:val="24"/>
                <w:lang w:val="en-ZA"/>
              </w:rPr>
            </w:pPr>
            <w:r w:rsidRPr="00CF490A">
              <w:rPr>
                <w:rFonts w:asciiTheme="minorHAnsi" w:hAnsiTheme="minorHAnsi" w:cstheme="minorHAnsi"/>
                <w:sz w:val="24"/>
                <w:szCs w:val="24"/>
                <w:lang w:val="en-ZA"/>
              </w:rPr>
              <w:t>The production permit issued by the government is in line with the production plan developed by the contractor.</w:t>
            </w:r>
          </w:p>
        </w:tc>
      </w:tr>
      <w:tr w:rsidR="004C5CFF" w:rsidRPr="00CF490A" w14:paraId="47435A01" w14:textId="77777777" w:rsidTr="004C5CFF">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2E52B584" w14:textId="7DE0B772" w:rsidR="004C5CFF" w:rsidRPr="00CF490A" w:rsidRDefault="004C5CFF"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12</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0A614B" w14:textId="517FF1C0" w:rsidR="004C5CFF" w:rsidRPr="00CF490A" w:rsidRDefault="004C5CFF" w:rsidP="00CF490A">
            <w:pPr>
              <w:widowControl/>
              <w:tabs>
                <w:tab w:val="left" w:pos="1100"/>
              </w:tabs>
              <w:autoSpaceDE/>
              <w:autoSpaceDN/>
              <w:contextualSpacing/>
              <w:jc w:val="both"/>
              <w:rPr>
                <w:rFonts w:asciiTheme="minorHAnsi" w:hAnsiTheme="minorHAnsi" w:cstheme="minorHAnsi"/>
                <w:sz w:val="24"/>
                <w:szCs w:val="24"/>
                <w:lang w:val="en-ZA"/>
              </w:rPr>
            </w:pPr>
            <w:r w:rsidRPr="00CF490A">
              <w:rPr>
                <w:rFonts w:asciiTheme="minorHAnsi" w:hAnsiTheme="minorHAnsi" w:cstheme="minorHAnsi"/>
                <w:sz w:val="24"/>
                <w:szCs w:val="24"/>
                <w:lang w:val="en-ZA"/>
              </w:rPr>
              <w:t>The government has done everything in its power to ensure that the contractor maximises the production volume from the minerals/petroleum deposits.</w:t>
            </w:r>
          </w:p>
        </w:tc>
      </w:tr>
      <w:tr w:rsidR="00F66C20" w:rsidRPr="00CF490A" w14:paraId="05218730" w14:textId="77777777" w:rsidTr="004C5CFF">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29FD693A" w14:textId="688A1B4C" w:rsidR="00F66C20" w:rsidRPr="00CF490A" w:rsidRDefault="00F66C20"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13</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BA8F8A" w14:textId="4D218208" w:rsidR="00F66C20" w:rsidRPr="00CF490A" w:rsidRDefault="00F66C20" w:rsidP="00CF490A">
            <w:pPr>
              <w:widowControl/>
              <w:tabs>
                <w:tab w:val="left" w:pos="1100"/>
              </w:tabs>
              <w:autoSpaceDE/>
              <w:autoSpaceDN/>
              <w:contextualSpacing/>
              <w:jc w:val="both"/>
              <w:rPr>
                <w:rFonts w:asciiTheme="minorHAnsi" w:hAnsiTheme="minorHAnsi" w:cstheme="minorHAnsi"/>
                <w:sz w:val="24"/>
                <w:szCs w:val="24"/>
              </w:rPr>
            </w:pPr>
            <w:r w:rsidRPr="00CF490A">
              <w:rPr>
                <w:rFonts w:asciiTheme="minorHAnsi" w:hAnsiTheme="minorHAnsi" w:cstheme="minorHAnsi"/>
                <w:sz w:val="24"/>
                <w:szCs w:val="24"/>
              </w:rPr>
              <w:t xml:space="preserve">The licensee/contractor is not granted tax holiday, incentives or other exemptions.  If so, the SAI should obtain assuarance for the warranty/authority. </w:t>
            </w:r>
          </w:p>
        </w:tc>
      </w:tr>
    </w:tbl>
    <w:p w14:paraId="48E0705A" w14:textId="2B90E62A" w:rsidR="00F27095" w:rsidRPr="00CF490A" w:rsidRDefault="00F27095" w:rsidP="00CF490A">
      <w:pPr>
        <w:contextualSpacing/>
        <w:jc w:val="both"/>
        <w:rPr>
          <w:rFonts w:asciiTheme="minorHAnsi" w:hAnsiTheme="minorHAnsi" w:cstheme="minorHAnsi"/>
          <w:sz w:val="24"/>
          <w:szCs w:val="24"/>
        </w:rPr>
      </w:pPr>
    </w:p>
    <w:p w14:paraId="70DAAA2D" w14:textId="0FBF8726" w:rsidR="004B7422" w:rsidRPr="00CF490A" w:rsidRDefault="004B7422" w:rsidP="00CF490A">
      <w:pPr>
        <w:contextualSpacing/>
        <w:jc w:val="both"/>
        <w:rPr>
          <w:rFonts w:asciiTheme="minorHAnsi" w:hAnsiTheme="minorHAnsi" w:cstheme="minorHAnsi"/>
          <w:sz w:val="24"/>
          <w:szCs w:val="24"/>
        </w:rPr>
      </w:pPr>
    </w:p>
    <w:p w14:paraId="28115BA8" w14:textId="77777777" w:rsidR="004B7422" w:rsidRPr="00CF490A" w:rsidRDefault="004B7422" w:rsidP="00CF490A">
      <w:pPr>
        <w:contextualSpacing/>
        <w:jc w:val="both"/>
        <w:rPr>
          <w:rFonts w:asciiTheme="minorHAnsi" w:hAnsiTheme="minorHAnsi" w:cstheme="minorHAnsi"/>
          <w:sz w:val="24"/>
          <w:szCs w:val="24"/>
        </w:rPr>
      </w:pPr>
    </w:p>
    <w:p w14:paraId="41B06797" w14:textId="7ED8E5E8" w:rsidR="004B7422" w:rsidRPr="00CF490A" w:rsidRDefault="004B7422" w:rsidP="00CF490A">
      <w:pPr>
        <w:contextualSpacing/>
        <w:jc w:val="both"/>
        <w:rPr>
          <w:rFonts w:asciiTheme="minorHAnsi" w:hAnsiTheme="minorHAnsi" w:cstheme="minorHAnsi"/>
          <w:b/>
          <w:bCs/>
          <w:color w:val="00A399"/>
          <w:sz w:val="24"/>
          <w:szCs w:val="24"/>
        </w:rPr>
      </w:pPr>
      <w:r w:rsidRPr="00CF490A">
        <w:rPr>
          <w:rFonts w:asciiTheme="minorHAnsi" w:hAnsiTheme="minorHAnsi" w:cstheme="minorHAnsi"/>
          <w:b/>
          <w:bCs/>
          <w:color w:val="00A399"/>
          <w:sz w:val="24"/>
          <w:szCs w:val="24"/>
        </w:rPr>
        <w:t xml:space="preserve">STAGE 4: </w:t>
      </w:r>
      <w:r w:rsidR="00C57B31" w:rsidRPr="00CF490A">
        <w:rPr>
          <w:rFonts w:asciiTheme="minorHAnsi" w:hAnsiTheme="minorHAnsi" w:cstheme="minorHAnsi"/>
          <w:b/>
          <w:bCs/>
          <w:color w:val="00A399"/>
          <w:sz w:val="24"/>
          <w:szCs w:val="24"/>
        </w:rPr>
        <w:t xml:space="preserve">Monitoring of </w:t>
      </w:r>
      <w:r w:rsidR="00E87A5D" w:rsidRPr="00CF490A">
        <w:rPr>
          <w:rFonts w:asciiTheme="minorHAnsi" w:hAnsiTheme="minorHAnsi" w:cstheme="minorHAnsi"/>
          <w:b/>
          <w:bCs/>
          <w:color w:val="00A399"/>
          <w:sz w:val="24"/>
          <w:szCs w:val="24"/>
        </w:rPr>
        <w:t>O</w:t>
      </w:r>
      <w:r w:rsidR="00C57B31" w:rsidRPr="00CF490A">
        <w:rPr>
          <w:rFonts w:asciiTheme="minorHAnsi" w:hAnsiTheme="minorHAnsi" w:cstheme="minorHAnsi"/>
          <w:b/>
          <w:bCs/>
          <w:color w:val="00A399"/>
          <w:sz w:val="24"/>
          <w:szCs w:val="24"/>
        </w:rPr>
        <w:t xml:space="preserve">perations </w:t>
      </w:r>
    </w:p>
    <w:p w14:paraId="7AB2779B" w14:textId="2BA36D28" w:rsidR="00C57B31" w:rsidRPr="00CF490A" w:rsidRDefault="00C57B31" w:rsidP="00CF490A">
      <w:pPr>
        <w:contextualSpacing/>
        <w:jc w:val="both"/>
        <w:rPr>
          <w:rFonts w:asciiTheme="minorHAnsi" w:hAnsiTheme="minorHAnsi" w:cstheme="minorHAnsi"/>
          <w:b/>
          <w:sz w:val="24"/>
          <w:szCs w:val="24"/>
        </w:rPr>
      </w:pPr>
    </w:p>
    <w:tbl>
      <w:tblPr>
        <w:tblStyle w:val="TableGrid0"/>
        <w:tblW w:w="9235" w:type="dxa"/>
        <w:tblInd w:w="-96" w:type="dxa"/>
        <w:tblCellMar>
          <w:top w:w="7" w:type="dxa"/>
          <w:left w:w="108" w:type="dxa"/>
          <w:right w:w="54" w:type="dxa"/>
        </w:tblCellMar>
        <w:tblLook w:val="04A0" w:firstRow="1" w:lastRow="0" w:firstColumn="1" w:lastColumn="0" w:noHBand="0" w:noVBand="1"/>
      </w:tblPr>
      <w:tblGrid>
        <w:gridCol w:w="1379"/>
        <w:gridCol w:w="7856"/>
      </w:tblGrid>
      <w:tr w:rsidR="00F66C20" w:rsidRPr="00CF490A" w14:paraId="1D874E2F" w14:textId="77777777" w:rsidTr="001E4372">
        <w:trPr>
          <w:trHeight w:val="1074"/>
          <w:tblHeader/>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7B00D8DA" w14:textId="77777777" w:rsidR="00F66C20" w:rsidRPr="00CF490A" w:rsidRDefault="00F66C20" w:rsidP="00CF490A">
            <w:pPr>
              <w:contextualSpacing/>
              <w:jc w:val="both"/>
              <w:rPr>
                <w:rFonts w:asciiTheme="minorHAnsi" w:hAnsiTheme="minorHAnsi" w:cstheme="minorHAnsi"/>
                <w:color w:val="FFFFFF" w:themeColor="background1"/>
                <w:sz w:val="24"/>
                <w:szCs w:val="24"/>
              </w:rPr>
            </w:pPr>
          </w:p>
        </w:tc>
        <w:tc>
          <w:tcPr>
            <w:tcW w:w="7856" w:type="dxa"/>
            <w:tcBorders>
              <w:top w:val="single" w:sz="4" w:space="0" w:color="000000"/>
              <w:left w:val="single" w:sz="4" w:space="0" w:color="000000"/>
              <w:bottom w:val="single" w:sz="4" w:space="0" w:color="000000"/>
              <w:right w:val="single" w:sz="4" w:space="0" w:color="000000"/>
            </w:tcBorders>
            <w:shd w:val="clear" w:color="auto" w:fill="CCE5E4" w:themeFill="background2" w:themeFillTint="66"/>
            <w:vAlign w:val="center"/>
          </w:tcPr>
          <w:p w14:paraId="6A8C257E" w14:textId="48EB7029" w:rsidR="00F66C20" w:rsidRPr="00CF490A" w:rsidRDefault="00F66C20" w:rsidP="00CF490A">
            <w:pPr>
              <w:ind w:left="20" w:right="-10"/>
              <w:contextualSpacing/>
              <w:jc w:val="both"/>
              <w:rPr>
                <w:rFonts w:asciiTheme="minorHAnsi" w:hAnsiTheme="minorHAnsi" w:cstheme="minorHAnsi"/>
                <w:b/>
                <w:sz w:val="24"/>
                <w:szCs w:val="24"/>
                <w:lang w:val="en-ZA"/>
              </w:rPr>
            </w:pPr>
            <w:r w:rsidRPr="00CF490A">
              <w:rPr>
                <w:rFonts w:asciiTheme="minorHAnsi" w:hAnsiTheme="minorHAnsi" w:cstheme="minorHAnsi"/>
                <w:b/>
                <w:sz w:val="24"/>
                <w:szCs w:val="24"/>
                <w:lang w:val="en-ZA"/>
              </w:rPr>
              <w:t>The SAI should assess:</w:t>
            </w:r>
          </w:p>
        </w:tc>
      </w:tr>
      <w:tr w:rsidR="00F66C20" w:rsidRPr="00CF490A" w14:paraId="49350E54" w14:textId="77777777" w:rsidTr="001E4372">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6ACF1AC4"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1</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B8250A" w14:textId="0B3AB2B6" w:rsidR="00F66C20" w:rsidRPr="00CF490A" w:rsidRDefault="00F66C20" w:rsidP="00CF490A">
            <w:pPr>
              <w:widowControl/>
              <w:adjustRightInd w:val="0"/>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Whether the government has: </w:t>
            </w:r>
          </w:p>
          <w:p w14:paraId="4371D6C3" w14:textId="65E6A41E" w:rsidR="00F66C20" w:rsidRPr="00CF490A" w:rsidRDefault="00F66C20" w:rsidP="00CF490A">
            <w:pPr>
              <w:pStyle w:val="ListParagraph"/>
              <w:widowControl/>
              <w:numPr>
                <w:ilvl w:val="0"/>
                <w:numId w:val="10"/>
              </w:numPr>
              <w:adjustRightInd w:val="0"/>
              <w:spacing w:after="111"/>
              <w:ind w:left="421"/>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Ensured that appropriate institutional capacity is available at each stage in the EI Value Chain. </w:t>
            </w:r>
          </w:p>
          <w:p w14:paraId="0148C06C" w14:textId="5BB64A46" w:rsidR="00F66C20" w:rsidRPr="00CF490A" w:rsidRDefault="00F66C20" w:rsidP="00CF490A">
            <w:pPr>
              <w:pStyle w:val="ListParagraph"/>
              <w:widowControl/>
              <w:numPr>
                <w:ilvl w:val="0"/>
                <w:numId w:val="10"/>
              </w:numPr>
              <w:adjustRightInd w:val="0"/>
              <w:spacing w:after="111"/>
              <w:ind w:left="421"/>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Ensured that capabilities are available, in the sense of specialist skills, training and adequate resources. </w:t>
            </w:r>
          </w:p>
          <w:p w14:paraId="5F0AB0F2" w14:textId="23CA8556" w:rsidR="00F66C20" w:rsidRPr="00CF490A" w:rsidRDefault="00F66C20" w:rsidP="00CF490A">
            <w:pPr>
              <w:pStyle w:val="ListParagraph"/>
              <w:widowControl/>
              <w:numPr>
                <w:ilvl w:val="0"/>
                <w:numId w:val="10"/>
              </w:numPr>
              <w:adjustRightInd w:val="0"/>
              <w:spacing w:after="111"/>
              <w:ind w:left="421"/>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Put in place non-overlapping mandates so that each ministry or agency has a mandate with clearly defined competencies and responsibilities and the resources and staff to fulfil the mandate. </w:t>
            </w:r>
          </w:p>
          <w:p w14:paraId="38331938" w14:textId="3D2E4BEE" w:rsidR="00F66C20" w:rsidRPr="00CF490A" w:rsidRDefault="00F66C20" w:rsidP="00CF490A">
            <w:pPr>
              <w:pStyle w:val="ListParagraph"/>
              <w:widowControl/>
              <w:numPr>
                <w:ilvl w:val="0"/>
                <w:numId w:val="10"/>
              </w:numPr>
              <w:adjustRightInd w:val="0"/>
              <w:ind w:left="421"/>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Ensured consistency of approach, so that all government bodies are working to achieve extractives development in a sustainable manner. </w:t>
            </w:r>
          </w:p>
          <w:p w14:paraId="523EAB0E" w14:textId="77777777" w:rsidR="00F66C20" w:rsidRPr="00CF490A" w:rsidRDefault="00F66C20" w:rsidP="00CF490A">
            <w:pPr>
              <w:ind w:right="59"/>
              <w:contextualSpacing/>
              <w:jc w:val="both"/>
              <w:rPr>
                <w:rFonts w:asciiTheme="minorHAnsi" w:hAnsiTheme="minorHAnsi" w:cstheme="minorHAnsi"/>
                <w:sz w:val="24"/>
                <w:szCs w:val="24"/>
                <w:lang w:val="en-ZA"/>
              </w:rPr>
            </w:pPr>
          </w:p>
        </w:tc>
      </w:tr>
      <w:tr w:rsidR="00F66C20" w:rsidRPr="00CF490A" w14:paraId="65910DFB" w14:textId="77777777" w:rsidTr="001E4372">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37388FB"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2</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963C5C" w14:textId="77777777" w:rsidR="00F66C20" w:rsidRPr="00CF490A" w:rsidRDefault="00F66C20" w:rsidP="00CF490A">
            <w:pPr>
              <w:widowControl/>
              <w:adjustRightInd w:val="0"/>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What are the systems of accountability and verification in place to monitor company performance, such as accounting procedures and regular independent audits? </w:t>
            </w:r>
          </w:p>
          <w:p w14:paraId="6CD5EA79" w14:textId="77777777" w:rsidR="00F66C20" w:rsidRPr="00CF490A" w:rsidRDefault="00F66C20" w:rsidP="00CF490A">
            <w:pPr>
              <w:pStyle w:val="Default"/>
              <w:contextualSpacing/>
              <w:jc w:val="both"/>
              <w:rPr>
                <w:rFonts w:asciiTheme="minorHAnsi" w:hAnsiTheme="minorHAnsi" w:cstheme="minorHAnsi"/>
                <w:lang w:val="en-ZA"/>
              </w:rPr>
            </w:pPr>
          </w:p>
        </w:tc>
      </w:tr>
      <w:tr w:rsidR="00F66C20" w:rsidRPr="00CF490A" w14:paraId="488A1D07" w14:textId="77777777" w:rsidTr="001E4372">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08D230ED"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3</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387ACF" w14:textId="77777777" w:rsidR="00F66C20" w:rsidRPr="00CF490A" w:rsidRDefault="00F66C20" w:rsidP="00CF490A">
            <w:pPr>
              <w:widowControl/>
              <w:adjustRightInd w:val="0"/>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How do government agencies monitor production volume measurements? </w:t>
            </w:r>
          </w:p>
          <w:p w14:paraId="22DD9775" w14:textId="5C32EEFC" w:rsidR="00F66C20" w:rsidRPr="00CF490A" w:rsidRDefault="00F66C20" w:rsidP="00CF490A">
            <w:pPr>
              <w:pStyle w:val="ListParagraph"/>
              <w:widowControl/>
              <w:numPr>
                <w:ilvl w:val="0"/>
                <w:numId w:val="14"/>
              </w:numPr>
              <w:adjustRightInd w:val="0"/>
              <w:spacing w:after="111"/>
              <w:ind w:left="421"/>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Is the government examining and testing the volume measuring equipment at regular intervals and in accordance with the regulations? </w:t>
            </w:r>
          </w:p>
          <w:p w14:paraId="2A081C14" w14:textId="4851035A" w:rsidR="00F66C20" w:rsidRPr="00CF490A" w:rsidRDefault="00F66C20" w:rsidP="00CF490A">
            <w:pPr>
              <w:pStyle w:val="ListParagraph"/>
              <w:widowControl/>
              <w:numPr>
                <w:ilvl w:val="0"/>
                <w:numId w:val="14"/>
              </w:numPr>
              <w:adjustRightInd w:val="0"/>
              <w:ind w:left="421"/>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Are the government cross-checking company reports and documents against supporting information or other sources? </w:t>
            </w:r>
          </w:p>
          <w:p w14:paraId="3C529E27" w14:textId="77777777" w:rsidR="00F66C20" w:rsidRPr="00CF490A" w:rsidRDefault="00F66C20" w:rsidP="00CF490A">
            <w:pPr>
              <w:ind w:right="57"/>
              <w:contextualSpacing/>
              <w:jc w:val="both"/>
              <w:rPr>
                <w:rFonts w:asciiTheme="minorHAnsi" w:hAnsiTheme="minorHAnsi" w:cstheme="minorHAnsi"/>
                <w:sz w:val="24"/>
                <w:szCs w:val="24"/>
                <w:lang w:val="en-ZA"/>
              </w:rPr>
            </w:pPr>
          </w:p>
        </w:tc>
      </w:tr>
      <w:tr w:rsidR="00F66C20" w:rsidRPr="00CF490A" w14:paraId="34F52997" w14:textId="77777777" w:rsidTr="001E4372">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75886DBB"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lastRenderedPageBreak/>
              <w:t>4</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CF747D" w14:textId="624EAD53" w:rsidR="00F66C20" w:rsidRPr="00CF490A" w:rsidRDefault="00F66C20" w:rsidP="00CF490A">
            <w:pPr>
              <w:widowControl/>
              <w:adjustRightInd w:val="0"/>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How do government agencies monitor environmental and social impacts? </w:t>
            </w:r>
          </w:p>
          <w:p w14:paraId="41FA2AA5" w14:textId="77777777" w:rsidR="00F66C20" w:rsidRPr="00CF490A" w:rsidRDefault="00F66C20" w:rsidP="00CF490A">
            <w:pPr>
              <w:pStyle w:val="ListParagraph"/>
              <w:widowControl/>
              <w:numPr>
                <w:ilvl w:val="0"/>
                <w:numId w:val="18"/>
              </w:numPr>
              <w:adjustRightInd w:val="0"/>
              <w:spacing w:after="111"/>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Is the government monitoring progress against the company’s environmental and social impact assessments and associated management plans? </w:t>
            </w:r>
          </w:p>
          <w:p w14:paraId="5613140D" w14:textId="26C661F2" w:rsidR="00F66C20" w:rsidRPr="00AA4FB2" w:rsidRDefault="00F66C20" w:rsidP="00AA4FB2">
            <w:pPr>
              <w:pStyle w:val="ListParagraph"/>
              <w:widowControl/>
              <w:numPr>
                <w:ilvl w:val="0"/>
                <w:numId w:val="17"/>
              </w:numPr>
              <w:adjustRightInd w:val="0"/>
              <w:spacing w:after="111"/>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Whether the government is assessing penalties or taking other measures to hold companies accountable for negative social and environmental impacts? </w:t>
            </w:r>
            <w:r w:rsidRPr="00CF490A">
              <w:rPr>
                <w:rFonts w:asciiTheme="minorHAnsi" w:hAnsiTheme="minorHAnsi" w:cstheme="minorHAnsi"/>
                <w:sz w:val="24"/>
                <w:szCs w:val="24"/>
              </w:rPr>
              <w:t xml:space="preserve"> </w:t>
            </w:r>
          </w:p>
        </w:tc>
      </w:tr>
    </w:tbl>
    <w:p w14:paraId="379F72B8" w14:textId="09548D75" w:rsidR="00C57B31" w:rsidRPr="00CF490A" w:rsidRDefault="00C57B31" w:rsidP="00CF490A">
      <w:pPr>
        <w:contextualSpacing/>
        <w:jc w:val="both"/>
        <w:rPr>
          <w:rFonts w:asciiTheme="minorHAnsi" w:hAnsiTheme="minorHAnsi" w:cstheme="minorHAnsi"/>
          <w:b/>
          <w:sz w:val="24"/>
          <w:szCs w:val="24"/>
        </w:rPr>
      </w:pPr>
    </w:p>
    <w:p w14:paraId="0BC37D86" w14:textId="65B3441C" w:rsidR="006923BE" w:rsidRPr="00CF490A" w:rsidRDefault="006923BE" w:rsidP="00CF490A">
      <w:pPr>
        <w:contextualSpacing/>
        <w:jc w:val="both"/>
        <w:rPr>
          <w:rFonts w:asciiTheme="minorHAnsi" w:hAnsiTheme="minorHAnsi" w:cstheme="minorHAnsi"/>
          <w:b/>
          <w:sz w:val="24"/>
          <w:szCs w:val="24"/>
        </w:rPr>
      </w:pPr>
    </w:p>
    <w:p w14:paraId="7777B4AE" w14:textId="465B60C9" w:rsidR="006923BE" w:rsidRPr="00CF490A" w:rsidRDefault="006923BE" w:rsidP="00CF490A">
      <w:pPr>
        <w:contextualSpacing/>
        <w:jc w:val="both"/>
        <w:rPr>
          <w:rFonts w:asciiTheme="minorHAnsi" w:hAnsiTheme="minorHAnsi" w:cstheme="minorHAnsi"/>
          <w:b/>
          <w:sz w:val="24"/>
          <w:szCs w:val="24"/>
        </w:rPr>
      </w:pPr>
    </w:p>
    <w:p w14:paraId="2DD685FE" w14:textId="582416DF" w:rsidR="006923BE" w:rsidRPr="00CF490A" w:rsidRDefault="006923BE" w:rsidP="00CF490A">
      <w:pPr>
        <w:contextualSpacing/>
        <w:jc w:val="both"/>
        <w:rPr>
          <w:rFonts w:asciiTheme="minorHAnsi" w:hAnsiTheme="minorHAnsi" w:cstheme="minorHAnsi"/>
          <w:b/>
          <w:bCs/>
          <w:color w:val="00A399"/>
          <w:sz w:val="24"/>
          <w:szCs w:val="24"/>
        </w:rPr>
      </w:pPr>
      <w:r w:rsidRPr="00CF490A">
        <w:rPr>
          <w:rFonts w:asciiTheme="minorHAnsi" w:hAnsiTheme="minorHAnsi" w:cstheme="minorHAnsi"/>
          <w:b/>
          <w:bCs/>
          <w:color w:val="00A399"/>
          <w:sz w:val="24"/>
          <w:szCs w:val="24"/>
        </w:rPr>
        <w:t xml:space="preserve">STAGE 5: Revenue </w:t>
      </w:r>
      <w:r w:rsidR="00E87A5D" w:rsidRPr="00CF490A">
        <w:rPr>
          <w:rFonts w:asciiTheme="minorHAnsi" w:hAnsiTheme="minorHAnsi" w:cstheme="minorHAnsi"/>
          <w:b/>
          <w:bCs/>
          <w:color w:val="00A399"/>
          <w:sz w:val="24"/>
          <w:szCs w:val="24"/>
        </w:rPr>
        <w:t>A</w:t>
      </w:r>
      <w:r w:rsidRPr="00CF490A">
        <w:rPr>
          <w:rFonts w:asciiTheme="minorHAnsi" w:hAnsiTheme="minorHAnsi" w:cstheme="minorHAnsi"/>
          <w:b/>
          <w:bCs/>
          <w:color w:val="00A399"/>
          <w:sz w:val="24"/>
          <w:szCs w:val="24"/>
        </w:rPr>
        <w:t xml:space="preserve">ssessment and </w:t>
      </w:r>
      <w:r w:rsidR="00E87A5D" w:rsidRPr="00CF490A">
        <w:rPr>
          <w:rFonts w:asciiTheme="minorHAnsi" w:hAnsiTheme="minorHAnsi" w:cstheme="minorHAnsi"/>
          <w:b/>
          <w:bCs/>
          <w:color w:val="00A399"/>
          <w:sz w:val="24"/>
          <w:szCs w:val="24"/>
        </w:rPr>
        <w:t>C</w:t>
      </w:r>
      <w:r w:rsidRPr="00CF490A">
        <w:rPr>
          <w:rFonts w:asciiTheme="minorHAnsi" w:hAnsiTheme="minorHAnsi" w:cstheme="minorHAnsi"/>
          <w:b/>
          <w:bCs/>
          <w:color w:val="00A399"/>
          <w:sz w:val="24"/>
          <w:szCs w:val="24"/>
        </w:rPr>
        <w:t xml:space="preserve">ollection </w:t>
      </w:r>
    </w:p>
    <w:p w14:paraId="19DF2D54" w14:textId="77777777" w:rsidR="006923BE" w:rsidRPr="00CF490A" w:rsidRDefault="006923BE" w:rsidP="00CF490A">
      <w:pPr>
        <w:contextualSpacing/>
        <w:jc w:val="both"/>
        <w:rPr>
          <w:rFonts w:asciiTheme="minorHAnsi" w:hAnsiTheme="minorHAnsi" w:cstheme="minorHAnsi"/>
          <w:b/>
          <w:sz w:val="24"/>
          <w:szCs w:val="24"/>
        </w:rPr>
      </w:pPr>
    </w:p>
    <w:tbl>
      <w:tblPr>
        <w:tblStyle w:val="TableGrid0"/>
        <w:tblW w:w="9235" w:type="dxa"/>
        <w:tblInd w:w="-96" w:type="dxa"/>
        <w:tblCellMar>
          <w:top w:w="7" w:type="dxa"/>
          <w:left w:w="108" w:type="dxa"/>
          <w:right w:w="54" w:type="dxa"/>
        </w:tblCellMar>
        <w:tblLook w:val="04A0" w:firstRow="1" w:lastRow="0" w:firstColumn="1" w:lastColumn="0" w:noHBand="0" w:noVBand="1"/>
      </w:tblPr>
      <w:tblGrid>
        <w:gridCol w:w="1379"/>
        <w:gridCol w:w="7856"/>
      </w:tblGrid>
      <w:tr w:rsidR="00F66C20" w:rsidRPr="00CF490A" w14:paraId="73C565DB" w14:textId="77777777" w:rsidTr="001E4372">
        <w:trPr>
          <w:trHeight w:val="1074"/>
          <w:tblHeader/>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21DAB101" w14:textId="77777777" w:rsidR="00F66C20" w:rsidRPr="00CF490A" w:rsidRDefault="00F66C20" w:rsidP="00CF490A">
            <w:pPr>
              <w:contextualSpacing/>
              <w:jc w:val="both"/>
              <w:rPr>
                <w:rFonts w:asciiTheme="minorHAnsi" w:hAnsiTheme="minorHAnsi" w:cstheme="minorHAnsi"/>
                <w:color w:val="FFFFFF" w:themeColor="background1"/>
                <w:sz w:val="24"/>
                <w:szCs w:val="24"/>
              </w:rPr>
            </w:pPr>
          </w:p>
        </w:tc>
        <w:tc>
          <w:tcPr>
            <w:tcW w:w="7856" w:type="dxa"/>
            <w:tcBorders>
              <w:top w:val="single" w:sz="4" w:space="0" w:color="000000"/>
              <w:left w:val="single" w:sz="4" w:space="0" w:color="000000"/>
              <w:bottom w:val="single" w:sz="4" w:space="0" w:color="000000"/>
              <w:right w:val="single" w:sz="4" w:space="0" w:color="000000"/>
            </w:tcBorders>
            <w:shd w:val="clear" w:color="auto" w:fill="CCE5E4" w:themeFill="background2" w:themeFillTint="66"/>
            <w:vAlign w:val="center"/>
          </w:tcPr>
          <w:p w14:paraId="5DC543C3" w14:textId="13C53B57" w:rsidR="00F66C20" w:rsidRPr="00CF490A" w:rsidRDefault="00F66C20" w:rsidP="00CF490A">
            <w:pPr>
              <w:ind w:left="20" w:right="-10"/>
              <w:contextualSpacing/>
              <w:jc w:val="both"/>
              <w:rPr>
                <w:rFonts w:asciiTheme="minorHAnsi" w:hAnsiTheme="minorHAnsi" w:cstheme="minorHAnsi"/>
                <w:b/>
                <w:sz w:val="24"/>
                <w:szCs w:val="24"/>
                <w:lang w:val="en-ZA"/>
              </w:rPr>
            </w:pPr>
            <w:r w:rsidRPr="00CF490A">
              <w:rPr>
                <w:rFonts w:asciiTheme="minorHAnsi" w:hAnsiTheme="minorHAnsi" w:cstheme="minorHAnsi"/>
                <w:b/>
                <w:sz w:val="24"/>
                <w:szCs w:val="24"/>
                <w:lang w:val="en-ZA"/>
              </w:rPr>
              <w:t>The SAI should assess whether:</w:t>
            </w:r>
          </w:p>
        </w:tc>
      </w:tr>
      <w:tr w:rsidR="00F66C20" w:rsidRPr="00CF490A" w14:paraId="25DB7E14" w14:textId="77777777" w:rsidTr="00AA4FB2">
        <w:trPr>
          <w:trHeight w:val="496"/>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76E1707A"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1</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6CE6B6" w14:textId="29DD1053"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Reported volumes and quality of produced minerals and petroleum are correct. </w:t>
            </w:r>
          </w:p>
        </w:tc>
      </w:tr>
      <w:tr w:rsidR="00F66C20" w:rsidRPr="00CF490A" w14:paraId="544DBF63" w14:textId="77777777" w:rsidTr="00AA4FB2">
        <w:trPr>
          <w:trHeight w:val="523"/>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70809450"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2</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5711AC" w14:textId="41B5CC83"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The tax is calculated based on the rate specified in the relevant law, act or contract. </w:t>
            </w:r>
          </w:p>
        </w:tc>
      </w:tr>
      <w:tr w:rsidR="00F66C20" w:rsidRPr="00CF490A" w14:paraId="56DF476E" w14:textId="77777777" w:rsidTr="00AA4FB2">
        <w:trPr>
          <w:trHeight w:val="721"/>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5B412E1"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3</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116869" w14:textId="3AFEB307" w:rsidR="00F66C20" w:rsidRPr="00AA4FB2" w:rsidRDefault="00F66C20" w:rsidP="00AA4FB2">
            <w:pPr>
              <w:pStyle w:val="Default"/>
              <w:contextualSpacing/>
              <w:jc w:val="both"/>
              <w:rPr>
                <w:rFonts w:asciiTheme="minorHAnsi" w:hAnsiTheme="minorHAnsi" w:cstheme="minorHAnsi"/>
              </w:rPr>
            </w:pPr>
            <w:r w:rsidRPr="00CF490A">
              <w:rPr>
                <w:rFonts w:asciiTheme="minorHAnsi" w:hAnsiTheme="minorHAnsi" w:cstheme="minorHAnsi"/>
              </w:rPr>
              <w:t>The deduction of costs for a specific year of income only relate to the relevant contract area (ring fencing)</w:t>
            </w:r>
            <w:r w:rsidR="00FA61D1" w:rsidRPr="00CF490A">
              <w:rPr>
                <w:rFonts w:asciiTheme="minorHAnsi" w:hAnsiTheme="minorHAnsi" w:cstheme="minorHAnsi"/>
              </w:rPr>
              <w:t>.</w:t>
            </w:r>
          </w:p>
        </w:tc>
      </w:tr>
      <w:tr w:rsidR="00F66C20" w:rsidRPr="00CF490A" w14:paraId="00EA486E" w14:textId="77777777" w:rsidTr="00AA4FB2">
        <w:tblPrEx>
          <w:tblCellMar>
            <w:right w:w="57" w:type="dxa"/>
          </w:tblCellMar>
        </w:tblPrEx>
        <w:trPr>
          <w:trHeight w:val="532"/>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EC430A6"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4</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FC8E41" w14:textId="41628E47"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Deductions of funds going to a decommissioning fund reserve are relevant. </w:t>
            </w:r>
          </w:p>
        </w:tc>
      </w:tr>
      <w:tr w:rsidR="00F66C20" w:rsidRPr="00CF490A" w14:paraId="075E1D61" w14:textId="77777777" w:rsidTr="001E4372">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593A11B5" w14:textId="10822FAE" w:rsidR="00F66C20" w:rsidRPr="00CF490A" w:rsidRDefault="00F66C20"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5</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C63EA6" w14:textId="350C922B"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The recoverable costs are in line with the eligible deductible expenditures defined in the PSA/PSC, or in the taxation act (necessary, appropriate, economical and connected to the mineral/petroleum operations). </w:t>
            </w:r>
          </w:p>
        </w:tc>
      </w:tr>
      <w:tr w:rsidR="00F66C20" w:rsidRPr="00CF490A" w14:paraId="3D4F063D" w14:textId="77777777" w:rsidTr="008B7C7F">
        <w:tblPrEx>
          <w:tblCellMar>
            <w:right w:w="57" w:type="dxa"/>
          </w:tblCellMar>
        </w:tblPrEx>
        <w:trPr>
          <w:trHeight w:val="715"/>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099D91F" w14:textId="6D6BED17" w:rsidR="00F66C20" w:rsidRPr="00CF490A" w:rsidRDefault="00F66C20"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6</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2B4DA8" w14:textId="32FB93AD"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The prices in transactions between related companies is assessed and tested for transfer mispricing</w:t>
            </w:r>
            <w:r w:rsidR="00AA4FB2">
              <w:rPr>
                <w:rFonts w:asciiTheme="minorHAnsi" w:hAnsiTheme="minorHAnsi" w:cstheme="minorHAnsi"/>
              </w:rPr>
              <w:t>.</w:t>
            </w:r>
          </w:p>
        </w:tc>
      </w:tr>
      <w:tr w:rsidR="00F66C20" w:rsidRPr="00CF490A" w14:paraId="50B9BF35" w14:textId="77777777" w:rsidTr="00AA4FB2">
        <w:tblPrEx>
          <w:tblCellMar>
            <w:right w:w="57" w:type="dxa"/>
          </w:tblCellMar>
        </w:tblPrEx>
        <w:trPr>
          <w:trHeight w:val="766"/>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29EAEE88" w14:textId="6073851D" w:rsidR="00F66C20" w:rsidRPr="00CF490A" w:rsidRDefault="00F66C20"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7</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CDA82E" w14:textId="785D2238"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The value of petroleum/minerals etc, of which tax revenues are derived, is calculated and measured in accordance with legislation/contracts. </w:t>
            </w:r>
          </w:p>
        </w:tc>
      </w:tr>
      <w:tr w:rsidR="00F66C20" w:rsidRPr="00CF490A" w14:paraId="0BEC907D" w14:textId="77777777" w:rsidTr="00AA4FB2">
        <w:tblPrEx>
          <w:tblCellMar>
            <w:right w:w="57" w:type="dxa"/>
          </w:tblCellMar>
        </w:tblPrEx>
        <w:trPr>
          <w:trHeight w:val="703"/>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00E92D93" w14:textId="4AC689D1" w:rsidR="00F66C20" w:rsidRPr="00CF490A" w:rsidRDefault="00F66C20"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8</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86014D" w14:textId="07CB308D"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The revenue authority ensures that tax returns are submitted timely and complete for correct calculation/assessment for revenue. </w:t>
            </w:r>
          </w:p>
        </w:tc>
      </w:tr>
      <w:tr w:rsidR="00F66C20" w:rsidRPr="00CF490A" w14:paraId="6761B3E4" w14:textId="77777777" w:rsidTr="008B7C7F">
        <w:tblPrEx>
          <w:tblCellMar>
            <w:right w:w="57" w:type="dxa"/>
          </w:tblCellMar>
        </w:tblPrEx>
        <w:trPr>
          <w:trHeight w:val="785"/>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2C794A81" w14:textId="3DA2006D" w:rsidR="00F66C20" w:rsidRPr="00CF490A" w:rsidRDefault="00F66C20"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9</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2C0251" w14:textId="1912453A"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The revenue authority ensures timely payments and reconciliation of accounts in accordance with the legislation/contracts (as specified in the taxation act/PSA/PSC). </w:t>
            </w:r>
          </w:p>
        </w:tc>
      </w:tr>
      <w:tr w:rsidR="00F66C20" w:rsidRPr="00CF490A" w14:paraId="6FA6CC2A" w14:textId="77777777" w:rsidTr="008B7C7F">
        <w:tblPrEx>
          <w:tblCellMar>
            <w:right w:w="57" w:type="dxa"/>
          </w:tblCellMar>
        </w:tblPrEx>
        <w:trPr>
          <w:trHeight w:val="7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5AE4D6CD" w14:textId="4673BDEA" w:rsidR="00F66C20" w:rsidRPr="00CF490A" w:rsidRDefault="00F66C20"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10</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116D9D" w14:textId="1010ECA9"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The revenue authority ensures that all licences/contractors are captured in the relevant revenue systems.</w:t>
            </w:r>
          </w:p>
        </w:tc>
      </w:tr>
    </w:tbl>
    <w:p w14:paraId="777B7AA5" w14:textId="2A7CC7FD" w:rsidR="008B7C7F" w:rsidRPr="00CF490A" w:rsidRDefault="008B7C7F" w:rsidP="00CF490A">
      <w:pPr>
        <w:contextualSpacing/>
        <w:jc w:val="both"/>
        <w:rPr>
          <w:rFonts w:asciiTheme="minorHAnsi" w:hAnsiTheme="minorHAnsi" w:cstheme="minorHAnsi"/>
          <w:b/>
          <w:bCs/>
          <w:color w:val="00A399"/>
          <w:sz w:val="24"/>
          <w:szCs w:val="24"/>
        </w:rPr>
      </w:pPr>
      <w:r w:rsidRPr="00CF490A">
        <w:rPr>
          <w:rFonts w:asciiTheme="minorHAnsi" w:hAnsiTheme="minorHAnsi" w:cstheme="minorHAnsi"/>
          <w:b/>
          <w:bCs/>
          <w:color w:val="00A399"/>
          <w:sz w:val="24"/>
          <w:szCs w:val="24"/>
        </w:rPr>
        <w:lastRenderedPageBreak/>
        <w:t xml:space="preserve">STAGE 6: Revenue </w:t>
      </w:r>
      <w:r w:rsidR="00E87A5D" w:rsidRPr="00CF490A">
        <w:rPr>
          <w:rFonts w:asciiTheme="minorHAnsi" w:hAnsiTheme="minorHAnsi" w:cstheme="minorHAnsi"/>
          <w:b/>
          <w:bCs/>
          <w:color w:val="00A399"/>
          <w:sz w:val="24"/>
          <w:szCs w:val="24"/>
        </w:rPr>
        <w:t>M</w:t>
      </w:r>
      <w:r w:rsidRPr="00CF490A">
        <w:rPr>
          <w:rFonts w:asciiTheme="minorHAnsi" w:hAnsiTheme="minorHAnsi" w:cstheme="minorHAnsi"/>
          <w:b/>
          <w:bCs/>
          <w:color w:val="00A399"/>
          <w:sz w:val="24"/>
          <w:szCs w:val="24"/>
        </w:rPr>
        <w:t xml:space="preserve">anagement and </w:t>
      </w:r>
      <w:r w:rsidR="00E87A5D" w:rsidRPr="00CF490A">
        <w:rPr>
          <w:rFonts w:asciiTheme="minorHAnsi" w:hAnsiTheme="minorHAnsi" w:cstheme="minorHAnsi"/>
          <w:b/>
          <w:bCs/>
          <w:color w:val="00A399"/>
          <w:sz w:val="24"/>
          <w:szCs w:val="24"/>
        </w:rPr>
        <w:t>A</w:t>
      </w:r>
      <w:r w:rsidRPr="00CF490A">
        <w:rPr>
          <w:rFonts w:asciiTheme="minorHAnsi" w:hAnsiTheme="minorHAnsi" w:cstheme="minorHAnsi"/>
          <w:b/>
          <w:bCs/>
          <w:color w:val="00A399"/>
          <w:sz w:val="24"/>
          <w:szCs w:val="24"/>
        </w:rPr>
        <w:t xml:space="preserve">llocation </w:t>
      </w:r>
    </w:p>
    <w:p w14:paraId="571CF151" w14:textId="77777777" w:rsidR="008B7C7F" w:rsidRPr="00CF490A" w:rsidRDefault="008B7C7F" w:rsidP="00CF490A">
      <w:pPr>
        <w:contextualSpacing/>
        <w:jc w:val="both"/>
        <w:rPr>
          <w:rFonts w:asciiTheme="minorHAnsi" w:hAnsiTheme="minorHAnsi" w:cstheme="minorHAnsi"/>
          <w:b/>
          <w:sz w:val="24"/>
          <w:szCs w:val="24"/>
        </w:rPr>
      </w:pPr>
    </w:p>
    <w:tbl>
      <w:tblPr>
        <w:tblStyle w:val="TableGrid0"/>
        <w:tblW w:w="9235" w:type="dxa"/>
        <w:tblInd w:w="-96" w:type="dxa"/>
        <w:tblCellMar>
          <w:top w:w="7" w:type="dxa"/>
          <w:left w:w="108" w:type="dxa"/>
          <w:right w:w="54" w:type="dxa"/>
        </w:tblCellMar>
        <w:tblLook w:val="04A0" w:firstRow="1" w:lastRow="0" w:firstColumn="1" w:lastColumn="0" w:noHBand="0" w:noVBand="1"/>
      </w:tblPr>
      <w:tblGrid>
        <w:gridCol w:w="1379"/>
        <w:gridCol w:w="7856"/>
      </w:tblGrid>
      <w:tr w:rsidR="00F66C20" w:rsidRPr="00CF490A" w14:paraId="4B48A19F" w14:textId="77777777" w:rsidTr="001E4372">
        <w:trPr>
          <w:trHeight w:val="1074"/>
          <w:tblHeader/>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0C62A77E" w14:textId="77777777" w:rsidR="00F66C20" w:rsidRPr="00CF490A" w:rsidRDefault="00F66C20" w:rsidP="00CF490A">
            <w:pPr>
              <w:contextualSpacing/>
              <w:jc w:val="both"/>
              <w:rPr>
                <w:rFonts w:asciiTheme="minorHAnsi" w:hAnsiTheme="minorHAnsi" w:cstheme="minorHAnsi"/>
                <w:color w:val="FFFFFF" w:themeColor="background1"/>
                <w:sz w:val="24"/>
                <w:szCs w:val="24"/>
              </w:rPr>
            </w:pPr>
          </w:p>
        </w:tc>
        <w:tc>
          <w:tcPr>
            <w:tcW w:w="7856" w:type="dxa"/>
            <w:tcBorders>
              <w:top w:val="single" w:sz="4" w:space="0" w:color="000000"/>
              <w:left w:val="single" w:sz="4" w:space="0" w:color="000000"/>
              <w:bottom w:val="single" w:sz="4" w:space="0" w:color="000000"/>
              <w:right w:val="single" w:sz="4" w:space="0" w:color="000000"/>
            </w:tcBorders>
            <w:shd w:val="clear" w:color="auto" w:fill="CCE5E4" w:themeFill="background2" w:themeFillTint="66"/>
            <w:vAlign w:val="center"/>
          </w:tcPr>
          <w:p w14:paraId="3FC031F0" w14:textId="28042B70" w:rsidR="00F66C20" w:rsidRPr="00CF490A" w:rsidRDefault="00F66C20" w:rsidP="00CF490A">
            <w:pPr>
              <w:ind w:left="20" w:right="-10"/>
              <w:contextualSpacing/>
              <w:jc w:val="both"/>
              <w:rPr>
                <w:rFonts w:asciiTheme="minorHAnsi" w:hAnsiTheme="minorHAnsi" w:cstheme="minorHAnsi"/>
                <w:b/>
                <w:sz w:val="24"/>
                <w:szCs w:val="24"/>
                <w:lang w:val="en-ZA"/>
              </w:rPr>
            </w:pPr>
            <w:r w:rsidRPr="00CF490A">
              <w:rPr>
                <w:rFonts w:asciiTheme="minorHAnsi" w:hAnsiTheme="minorHAnsi" w:cstheme="minorHAnsi"/>
                <w:b/>
                <w:sz w:val="24"/>
                <w:szCs w:val="24"/>
                <w:lang w:val="en-ZA"/>
              </w:rPr>
              <w:t>The SAI should assess whether:</w:t>
            </w:r>
          </w:p>
        </w:tc>
      </w:tr>
      <w:tr w:rsidR="00F66C20" w:rsidRPr="00CF490A" w14:paraId="2691F0FF" w14:textId="77777777" w:rsidTr="00AA4FB2">
        <w:trPr>
          <w:trHeight w:val="721"/>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3C6D3E02"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1</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BA851F" w14:textId="6CF677CB" w:rsidR="00F66C20" w:rsidRPr="00AA4FB2" w:rsidRDefault="00F66C20" w:rsidP="00AA4FB2">
            <w:pPr>
              <w:pStyle w:val="Default"/>
              <w:contextualSpacing/>
              <w:jc w:val="both"/>
              <w:rPr>
                <w:rFonts w:asciiTheme="minorHAnsi" w:hAnsiTheme="minorHAnsi" w:cstheme="minorHAnsi"/>
              </w:rPr>
            </w:pPr>
            <w:r w:rsidRPr="00CF490A">
              <w:rPr>
                <w:rFonts w:asciiTheme="minorHAnsi" w:hAnsiTheme="minorHAnsi" w:cstheme="minorHAnsi"/>
              </w:rPr>
              <w:t xml:space="preserve">There are measures in place that are being implemented to ensure resource funds are judiciously allocated and </w:t>
            </w:r>
            <w:r w:rsidR="00FA61D1" w:rsidRPr="00CF490A">
              <w:rPr>
                <w:rFonts w:asciiTheme="minorHAnsi" w:hAnsiTheme="minorHAnsi" w:cstheme="minorHAnsi"/>
              </w:rPr>
              <w:t>managed</w:t>
            </w:r>
            <w:r w:rsidRPr="00CF490A">
              <w:rPr>
                <w:rFonts w:asciiTheme="minorHAnsi" w:hAnsiTheme="minorHAnsi" w:cstheme="minorHAnsi"/>
              </w:rPr>
              <w:t xml:space="preserve"> in the country’s budget. </w:t>
            </w:r>
          </w:p>
        </w:tc>
      </w:tr>
      <w:tr w:rsidR="00F66C20" w:rsidRPr="00CF490A" w14:paraId="2CC39D52" w14:textId="77777777" w:rsidTr="001E4372">
        <w:trPr>
          <w:trHeight w:val="513"/>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7D72E7E"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2</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72F8E7" w14:textId="4E06D04C" w:rsidR="00F66C20" w:rsidRPr="00AA4FB2" w:rsidRDefault="00F66C20" w:rsidP="00AA4FB2">
            <w:pPr>
              <w:widowControl/>
              <w:adjustRightInd w:val="0"/>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The decisions on revenue allocation are transparent.</w:t>
            </w:r>
          </w:p>
        </w:tc>
      </w:tr>
      <w:tr w:rsidR="00F66C20" w:rsidRPr="00CF490A" w14:paraId="1423D1AD" w14:textId="77777777" w:rsidTr="00AA4FB2">
        <w:trPr>
          <w:trHeight w:val="622"/>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67771FBD"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3</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CBFFDF" w14:textId="7671D371" w:rsidR="00F66C20" w:rsidRPr="00AA4FB2" w:rsidRDefault="00F66C20" w:rsidP="00AA4FB2">
            <w:pPr>
              <w:pStyle w:val="Default"/>
              <w:contextualSpacing/>
              <w:jc w:val="both"/>
              <w:rPr>
                <w:rFonts w:asciiTheme="minorHAnsi" w:hAnsiTheme="minorHAnsi" w:cstheme="minorHAnsi"/>
              </w:rPr>
            </w:pPr>
            <w:r w:rsidRPr="00CF490A">
              <w:rPr>
                <w:rFonts w:asciiTheme="minorHAnsi" w:hAnsiTheme="minorHAnsi" w:cstheme="minorHAnsi"/>
              </w:rPr>
              <w:t>Expenditure decisions are nested within a sound macro-fiscal framework and are in line with the country’s development strategy.</w:t>
            </w:r>
          </w:p>
        </w:tc>
      </w:tr>
      <w:tr w:rsidR="00F66C20" w:rsidRPr="00CF490A" w14:paraId="32344874" w14:textId="77777777" w:rsidTr="00AA4FB2">
        <w:tblPrEx>
          <w:tblCellMar>
            <w:right w:w="57" w:type="dxa"/>
          </w:tblCellMar>
        </w:tblPrEx>
        <w:trPr>
          <w:trHeight w:val="433"/>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3D2F8E26" w14:textId="77777777" w:rsidR="00F66C20" w:rsidRPr="00CF490A" w:rsidRDefault="00F66C20"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4</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7456D7" w14:textId="6C40E04D"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There are policy measures to address the risk of Dutch disease.</w:t>
            </w:r>
          </w:p>
        </w:tc>
      </w:tr>
      <w:tr w:rsidR="00F66C20" w:rsidRPr="00CF490A" w14:paraId="43098D66" w14:textId="77777777" w:rsidTr="00AA4FB2">
        <w:tblPrEx>
          <w:tblCellMar>
            <w:right w:w="57" w:type="dxa"/>
          </w:tblCellMar>
        </w:tblPrEx>
        <w:trPr>
          <w:trHeight w:val="703"/>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ACC5585" w14:textId="645E32C9" w:rsidR="00F66C20" w:rsidRPr="00CF490A" w:rsidRDefault="00713DBE"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5</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9FD05F" w14:textId="52FEEE05"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There is a credible mechanism to deal with excess revenue in a sustainable manner, such as setting it aside in a transparent savings and stabilisation fund. </w:t>
            </w:r>
          </w:p>
        </w:tc>
      </w:tr>
      <w:tr w:rsidR="00F66C20" w:rsidRPr="00CF490A" w14:paraId="419C067B" w14:textId="77777777" w:rsidTr="001E4372">
        <w:tblPrEx>
          <w:tblCellMar>
            <w:right w:w="57" w:type="dxa"/>
          </w:tblCellMar>
        </w:tblPrEx>
        <w:trPr>
          <w:trHeight w:val="715"/>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6082676E" w14:textId="0CCF3BD0" w:rsidR="00F66C20" w:rsidRPr="00CF490A" w:rsidRDefault="00713DBE"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6</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2B2E4D" w14:textId="593080AA"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Revenue from EI is being paid on time into the designated account in the central bank. </w:t>
            </w:r>
          </w:p>
        </w:tc>
      </w:tr>
      <w:tr w:rsidR="00F66C20" w:rsidRPr="00CF490A" w14:paraId="22252CB5" w14:textId="77777777" w:rsidTr="00AA4FB2">
        <w:tblPrEx>
          <w:tblCellMar>
            <w:right w:w="57" w:type="dxa"/>
          </w:tblCellMar>
        </w:tblPrEx>
        <w:trPr>
          <w:trHeight w:val="69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9B1739A" w14:textId="05365888" w:rsidR="00F66C20" w:rsidRPr="00CF490A" w:rsidRDefault="00713DBE"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7</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0F044F" w14:textId="28491BD6"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There is a management agreement between the Ministry of Finance and the central bank which also covers investment policies. </w:t>
            </w:r>
          </w:p>
        </w:tc>
      </w:tr>
      <w:tr w:rsidR="00F66C20" w:rsidRPr="00CF490A" w14:paraId="73ED7D6F" w14:textId="77777777" w:rsidTr="00AA4FB2">
        <w:tblPrEx>
          <w:tblCellMar>
            <w:right w:w="57" w:type="dxa"/>
          </w:tblCellMar>
        </w:tblPrEx>
        <w:trPr>
          <w:trHeight w:val="613"/>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0730E5B6" w14:textId="10EF1534" w:rsidR="00F66C20" w:rsidRPr="00CF490A" w:rsidRDefault="00713DBE"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8</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165CA9" w14:textId="09D2FA4E"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The cap set to be allocated to the various avenues defined by the governing legislation are adhered to. </w:t>
            </w:r>
          </w:p>
        </w:tc>
      </w:tr>
      <w:tr w:rsidR="00F66C20" w:rsidRPr="00CF490A" w14:paraId="392362B7" w14:textId="77777777" w:rsidTr="001E4372">
        <w:tblPrEx>
          <w:tblCellMar>
            <w:right w:w="57" w:type="dxa"/>
          </w:tblCellMar>
        </w:tblPrEx>
        <w:trPr>
          <w:trHeight w:val="785"/>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78F20B70" w14:textId="3F0D1D6B" w:rsidR="00F66C20" w:rsidRPr="00CF490A" w:rsidRDefault="00713DBE"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9</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AD5F06" w14:textId="6CB7FFB3"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The cap set on the amount of revenue from EI to be transferred to the annual budget is adhered to. Normally, the transfer of the revenue should not exceed what is needed to fund next year's national budget. </w:t>
            </w:r>
          </w:p>
        </w:tc>
      </w:tr>
      <w:tr w:rsidR="00F66C20" w:rsidRPr="00CF490A" w14:paraId="4B918645" w14:textId="77777777" w:rsidTr="001E4372">
        <w:tblPrEx>
          <w:tblCellMar>
            <w:right w:w="57" w:type="dxa"/>
          </w:tblCellMar>
        </w:tblPrEx>
        <w:trPr>
          <w:trHeight w:val="7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D8ED1F0" w14:textId="1145D286" w:rsidR="00F66C20" w:rsidRPr="00CF490A" w:rsidRDefault="00713DBE"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10</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FDCC40" w14:textId="69D9619F"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Amounts transferred to the annual budget are used to fund activities and projects defined by the governing legislation: </w:t>
            </w:r>
          </w:p>
        </w:tc>
      </w:tr>
      <w:tr w:rsidR="00F66C20" w:rsidRPr="00CF490A" w14:paraId="0CBBC627" w14:textId="77777777" w:rsidTr="001E4372">
        <w:tblPrEx>
          <w:tblCellMar>
            <w:right w:w="57" w:type="dxa"/>
          </w:tblCellMar>
        </w:tblPrEx>
        <w:trPr>
          <w:trHeight w:val="7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348738EF" w14:textId="2016BCB8" w:rsidR="00F66C20" w:rsidRPr="00CF490A" w:rsidRDefault="00713DBE"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11</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9FEFB5" w14:textId="53830AAB"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Projects to be funded from allocations to the annual budget are executed at the local and national level. </w:t>
            </w:r>
          </w:p>
        </w:tc>
      </w:tr>
      <w:tr w:rsidR="00F66C20" w:rsidRPr="00CF490A" w14:paraId="73540921" w14:textId="77777777" w:rsidTr="001E4372">
        <w:tblPrEx>
          <w:tblCellMar>
            <w:right w:w="57" w:type="dxa"/>
          </w:tblCellMar>
        </w:tblPrEx>
        <w:trPr>
          <w:trHeight w:val="7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AAD8004" w14:textId="349E449D" w:rsidR="00F66C20" w:rsidRPr="00CF490A" w:rsidRDefault="00713DBE"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12</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14D5A0" w14:textId="653D3044"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Transfers from the central bank are processed only with the appropriate signatures. </w:t>
            </w:r>
          </w:p>
        </w:tc>
      </w:tr>
      <w:tr w:rsidR="00F66C20" w:rsidRPr="00CF490A" w14:paraId="1267D5C1" w14:textId="77777777" w:rsidTr="001E4372">
        <w:tblPrEx>
          <w:tblCellMar>
            <w:right w:w="57" w:type="dxa"/>
          </w:tblCellMar>
        </w:tblPrEx>
        <w:trPr>
          <w:trHeight w:val="7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79EF250E" w14:textId="4067BAB4" w:rsidR="00F66C20" w:rsidRPr="00CF490A" w:rsidRDefault="00713DBE"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13</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6D83D8" w14:textId="77717AFD" w:rsidR="00F66C20" w:rsidRPr="00CF490A" w:rsidRDefault="00F66C20" w:rsidP="00CF490A">
            <w:pPr>
              <w:pStyle w:val="Default"/>
              <w:contextualSpacing/>
              <w:jc w:val="both"/>
              <w:rPr>
                <w:rFonts w:asciiTheme="minorHAnsi" w:hAnsiTheme="minorHAnsi" w:cstheme="minorHAnsi"/>
              </w:rPr>
            </w:pPr>
            <w:r w:rsidRPr="00CF490A">
              <w:rPr>
                <w:rFonts w:asciiTheme="minorHAnsi" w:hAnsiTheme="minorHAnsi" w:cstheme="minorHAnsi"/>
              </w:rPr>
              <w:t xml:space="preserve">Any reserve funds established are managed in a proper way and they are spent for the intended purpose. Withdrawals should only be made for the intended purpose. </w:t>
            </w:r>
          </w:p>
        </w:tc>
      </w:tr>
      <w:tr w:rsidR="00F66C20" w:rsidRPr="00CF490A" w14:paraId="2C232FE9" w14:textId="77777777" w:rsidTr="001E4372">
        <w:tblPrEx>
          <w:tblCellMar>
            <w:right w:w="57" w:type="dxa"/>
          </w:tblCellMar>
        </w:tblPrEx>
        <w:trPr>
          <w:trHeight w:val="7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4BEF4CAB" w14:textId="4F740527" w:rsidR="00F66C20" w:rsidRPr="00CF490A" w:rsidRDefault="00713DBE" w:rsidP="00CF490A">
            <w:pPr>
              <w:contextualSpacing/>
              <w:jc w:val="both"/>
              <w:rPr>
                <w:rFonts w:asciiTheme="minorHAnsi" w:hAnsiTheme="minorHAnsi" w:cstheme="minorHAnsi"/>
                <w:b/>
                <w:color w:val="FFFFFF" w:themeColor="background1"/>
                <w:sz w:val="24"/>
                <w:szCs w:val="24"/>
              </w:rPr>
            </w:pPr>
            <w:r w:rsidRPr="00CF490A">
              <w:rPr>
                <w:rFonts w:asciiTheme="minorHAnsi" w:hAnsiTheme="minorHAnsi" w:cstheme="minorHAnsi"/>
                <w:b/>
                <w:color w:val="FFFFFF" w:themeColor="background1"/>
                <w:sz w:val="24"/>
                <w:szCs w:val="24"/>
              </w:rPr>
              <w:t>14</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5D1609" w14:textId="57883764" w:rsidR="00F66C20" w:rsidRPr="00AA4FB2" w:rsidRDefault="00F66C20" w:rsidP="00AA4FB2">
            <w:pPr>
              <w:widowControl/>
              <w:adjustRightInd w:val="0"/>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 xml:space="preserve">Transfers are made to the local communities defined in the legislation as eligible recipients. </w:t>
            </w:r>
          </w:p>
        </w:tc>
      </w:tr>
    </w:tbl>
    <w:p w14:paraId="03C2DE44" w14:textId="65D58801" w:rsidR="006C3700" w:rsidRPr="00CF490A" w:rsidRDefault="006C3700" w:rsidP="00CF490A">
      <w:pPr>
        <w:contextualSpacing/>
        <w:jc w:val="both"/>
        <w:rPr>
          <w:rFonts w:asciiTheme="minorHAnsi" w:hAnsiTheme="minorHAnsi" w:cstheme="minorHAnsi"/>
          <w:b/>
          <w:sz w:val="24"/>
          <w:szCs w:val="24"/>
        </w:rPr>
      </w:pPr>
    </w:p>
    <w:p w14:paraId="5B37F52C" w14:textId="30F6997D" w:rsidR="006C3700" w:rsidRPr="00CF490A" w:rsidRDefault="006C3700" w:rsidP="00CF490A">
      <w:pPr>
        <w:contextualSpacing/>
        <w:jc w:val="both"/>
        <w:rPr>
          <w:rFonts w:asciiTheme="minorHAnsi" w:hAnsiTheme="minorHAnsi" w:cstheme="minorHAnsi"/>
          <w:b/>
          <w:sz w:val="24"/>
          <w:szCs w:val="24"/>
        </w:rPr>
      </w:pPr>
    </w:p>
    <w:p w14:paraId="7F6B0E99" w14:textId="491BFAA5" w:rsidR="00713DBE" w:rsidRPr="00CF490A" w:rsidRDefault="00713DBE" w:rsidP="00CF490A">
      <w:pPr>
        <w:contextualSpacing/>
        <w:jc w:val="both"/>
        <w:rPr>
          <w:rFonts w:asciiTheme="minorHAnsi" w:hAnsiTheme="minorHAnsi" w:cstheme="minorHAnsi"/>
          <w:b/>
          <w:sz w:val="24"/>
          <w:szCs w:val="24"/>
        </w:rPr>
      </w:pPr>
    </w:p>
    <w:p w14:paraId="516B578B" w14:textId="1E0A53E7" w:rsidR="00713DBE" w:rsidRPr="00CF490A" w:rsidRDefault="00713DBE" w:rsidP="00CF490A">
      <w:pPr>
        <w:contextualSpacing/>
        <w:jc w:val="both"/>
        <w:rPr>
          <w:rFonts w:asciiTheme="minorHAnsi" w:hAnsiTheme="minorHAnsi" w:cstheme="minorHAnsi"/>
          <w:b/>
          <w:sz w:val="24"/>
          <w:szCs w:val="24"/>
        </w:rPr>
      </w:pPr>
    </w:p>
    <w:p w14:paraId="0D4187AF" w14:textId="25FEF1FC" w:rsidR="00713DBE" w:rsidRPr="00CF490A" w:rsidRDefault="00713DBE" w:rsidP="00CF490A">
      <w:pPr>
        <w:contextualSpacing/>
        <w:jc w:val="both"/>
        <w:rPr>
          <w:rFonts w:asciiTheme="minorHAnsi" w:hAnsiTheme="minorHAnsi" w:cstheme="minorHAnsi"/>
          <w:b/>
          <w:sz w:val="24"/>
          <w:szCs w:val="24"/>
        </w:rPr>
      </w:pPr>
    </w:p>
    <w:p w14:paraId="409606DF" w14:textId="569266F0" w:rsidR="00713DBE" w:rsidRPr="00CF490A" w:rsidRDefault="00713DBE" w:rsidP="00CF490A">
      <w:pPr>
        <w:contextualSpacing/>
        <w:jc w:val="both"/>
        <w:rPr>
          <w:rFonts w:asciiTheme="minorHAnsi" w:hAnsiTheme="minorHAnsi" w:cstheme="minorHAnsi"/>
          <w:b/>
          <w:sz w:val="24"/>
          <w:szCs w:val="24"/>
        </w:rPr>
      </w:pPr>
    </w:p>
    <w:p w14:paraId="4AF64CAE" w14:textId="134BF1C1" w:rsidR="006C3700" w:rsidRPr="00CF490A" w:rsidRDefault="006C3700" w:rsidP="00CF490A">
      <w:pPr>
        <w:contextualSpacing/>
        <w:jc w:val="both"/>
        <w:rPr>
          <w:rFonts w:asciiTheme="minorHAnsi" w:hAnsiTheme="minorHAnsi" w:cstheme="minorHAnsi"/>
          <w:b/>
          <w:bCs/>
          <w:color w:val="00A399"/>
          <w:sz w:val="24"/>
          <w:szCs w:val="24"/>
        </w:rPr>
      </w:pPr>
      <w:r w:rsidRPr="00CF490A">
        <w:rPr>
          <w:rFonts w:asciiTheme="minorHAnsi" w:hAnsiTheme="minorHAnsi" w:cstheme="minorHAnsi"/>
          <w:b/>
          <w:bCs/>
          <w:color w:val="00A399"/>
          <w:sz w:val="24"/>
          <w:szCs w:val="24"/>
        </w:rPr>
        <w:lastRenderedPageBreak/>
        <w:t xml:space="preserve">STAGE 7: Implementation of </w:t>
      </w:r>
      <w:r w:rsidR="00CA30B3" w:rsidRPr="00CF490A">
        <w:rPr>
          <w:rFonts w:asciiTheme="minorHAnsi" w:hAnsiTheme="minorHAnsi" w:cstheme="minorHAnsi"/>
          <w:b/>
          <w:bCs/>
          <w:color w:val="00A399"/>
          <w:sz w:val="24"/>
          <w:szCs w:val="24"/>
        </w:rPr>
        <w:t>S</w:t>
      </w:r>
      <w:r w:rsidRPr="00CF490A">
        <w:rPr>
          <w:rFonts w:asciiTheme="minorHAnsi" w:hAnsiTheme="minorHAnsi" w:cstheme="minorHAnsi"/>
          <w:b/>
          <w:bCs/>
          <w:color w:val="00A399"/>
          <w:sz w:val="24"/>
          <w:szCs w:val="24"/>
        </w:rPr>
        <w:t xml:space="preserve">ustainable </w:t>
      </w:r>
      <w:r w:rsidR="00CA30B3" w:rsidRPr="00CF490A">
        <w:rPr>
          <w:rFonts w:asciiTheme="minorHAnsi" w:hAnsiTheme="minorHAnsi" w:cstheme="minorHAnsi"/>
          <w:b/>
          <w:bCs/>
          <w:color w:val="00A399"/>
          <w:sz w:val="24"/>
          <w:szCs w:val="24"/>
        </w:rPr>
        <w:t>P</w:t>
      </w:r>
      <w:r w:rsidRPr="00CF490A">
        <w:rPr>
          <w:rFonts w:asciiTheme="minorHAnsi" w:hAnsiTheme="minorHAnsi" w:cstheme="minorHAnsi"/>
          <w:b/>
          <w:bCs/>
          <w:color w:val="00A399"/>
          <w:sz w:val="24"/>
          <w:szCs w:val="24"/>
        </w:rPr>
        <w:t xml:space="preserve">olicies: Economic, Environmental and Social Concerns </w:t>
      </w:r>
    </w:p>
    <w:p w14:paraId="65E88CB8" w14:textId="77777777" w:rsidR="006C3700" w:rsidRPr="00CF490A" w:rsidRDefault="006C3700" w:rsidP="00CF490A">
      <w:pPr>
        <w:contextualSpacing/>
        <w:jc w:val="both"/>
        <w:rPr>
          <w:rFonts w:asciiTheme="minorHAnsi" w:hAnsiTheme="minorHAnsi" w:cstheme="minorHAnsi"/>
          <w:b/>
          <w:sz w:val="24"/>
          <w:szCs w:val="24"/>
        </w:rPr>
      </w:pPr>
    </w:p>
    <w:tbl>
      <w:tblPr>
        <w:tblStyle w:val="TableGrid0"/>
        <w:tblW w:w="9235" w:type="dxa"/>
        <w:tblInd w:w="-96" w:type="dxa"/>
        <w:tblCellMar>
          <w:top w:w="7" w:type="dxa"/>
          <w:left w:w="108" w:type="dxa"/>
          <w:right w:w="54" w:type="dxa"/>
        </w:tblCellMar>
        <w:tblLook w:val="04A0" w:firstRow="1" w:lastRow="0" w:firstColumn="1" w:lastColumn="0" w:noHBand="0" w:noVBand="1"/>
      </w:tblPr>
      <w:tblGrid>
        <w:gridCol w:w="1379"/>
        <w:gridCol w:w="7856"/>
      </w:tblGrid>
      <w:tr w:rsidR="00A41B2A" w:rsidRPr="00CF490A" w14:paraId="321C6ACA" w14:textId="77777777" w:rsidTr="001E4372">
        <w:trPr>
          <w:trHeight w:val="1074"/>
          <w:tblHeader/>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256B630F" w14:textId="77777777" w:rsidR="00A41B2A" w:rsidRPr="00CF490A" w:rsidRDefault="00A41B2A" w:rsidP="00CF490A">
            <w:pPr>
              <w:contextualSpacing/>
              <w:jc w:val="both"/>
              <w:rPr>
                <w:rFonts w:asciiTheme="minorHAnsi" w:hAnsiTheme="minorHAnsi" w:cstheme="minorHAnsi"/>
                <w:color w:val="FFFFFF" w:themeColor="background1"/>
                <w:sz w:val="24"/>
                <w:szCs w:val="24"/>
              </w:rPr>
            </w:pPr>
          </w:p>
        </w:tc>
        <w:tc>
          <w:tcPr>
            <w:tcW w:w="7856" w:type="dxa"/>
            <w:tcBorders>
              <w:top w:val="single" w:sz="4" w:space="0" w:color="000000"/>
              <w:left w:val="single" w:sz="4" w:space="0" w:color="000000"/>
              <w:bottom w:val="single" w:sz="4" w:space="0" w:color="000000"/>
              <w:right w:val="single" w:sz="4" w:space="0" w:color="000000"/>
            </w:tcBorders>
            <w:shd w:val="clear" w:color="auto" w:fill="CCE5E4" w:themeFill="background2" w:themeFillTint="66"/>
            <w:vAlign w:val="center"/>
          </w:tcPr>
          <w:p w14:paraId="23C405BA" w14:textId="177AE3E5" w:rsidR="00A41B2A" w:rsidRPr="00CF490A" w:rsidRDefault="00A41B2A" w:rsidP="00CF490A">
            <w:pPr>
              <w:ind w:left="20" w:right="-10"/>
              <w:contextualSpacing/>
              <w:jc w:val="both"/>
              <w:rPr>
                <w:rFonts w:asciiTheme="minorHAnsi" w:hAnsiTheme="minorHAnsi" w:cstheme="minorHAnsi"/>
                <w:b/>
                <w:sz w:val="24"/>
                <w:szCs w:val="24"/>
                <w:lang w:val="en-ZA"/>
              </w:rPr>
            </w:pPr>
            <w:r w:rsidRPr="00CF490A">
              <w:rPr>
                <w:rFonts w:asciiTheme="minorHAnsi" w:hAnsiTheme="minorHAnsi" w:cstheme="minorHAnsi"/>
                <w:b/>
                <w:sz w:val="24"/>
                <w:szCs w:val="24"/>
                <w:lang w:val="en-ZA"/>
              </w:rPr>
              <w:t>The SAI should assess the following aspects:</w:t>
            </w:r>
          </w:p>
        </w:tc>
      </w:tr>
      <w:tr w:rsidR="00A41B2A" w:rsidRPr="00CF490A" w14:paraId="71CE87B4" w14:textId="77777777" w:rsidTr="001E4372">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0739A665" w14:textId="77777777" w:rsidR="00A41B2A" w:rsidRPr="00CF490A" w:rsidRDefault="00A41B2A"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1</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64DE58" w14:textId="1FC1DE5B" w:rsidR="00A41B2A" w:rsidRPr="00CF490A" w:rsidRDefault="00A41B2A" w:rsidP="00CF490A">
            <w:pPr>
              <w:pStyle w:val="Default"/>
              <w:contextualSpacing/>
              <w:jc w:val="both"/>
              <w:rPr>
                <w:rFonts w:asciiTheme="minorHAnsi" w:hAnsiTheme="minorHAnsi" w:cstheme="minorHAnsi"/>
              </w:rPr>
            </w:pPr>
            <w:r w:rsidRPr="00CF490A">
              <w:rPr>
                <w:rFonts w:asciiTheme="minorHAnsi" w:hAnsiTheme="minorHAnsi" w:cstheme="minorHAnsi"/>
                <w:b/>
                <w:bCs/>
              </w:rPr>
              <w:t>Environmental and soci</w:t>
            </w:r>
            <w:r w:rsidR="00FA61D1" w:rsidRPr="00CF490A">
              <w:rPr>
                <w:rFonts w:asciiTheme="minorHAnsi" w:hAnsiTheme="minorHAnsi" w:cstheme="minorHAnsi"/>
                <w:b/>
                <w:bCs/>
              </w:rPr>
              <w:t>al concerns</w:t>
            </w:r>
          </w:p>
          <w:p w14:paraId="0F16F256" w14:textId="77777777" w:rsidR="00A41B2A" w:rsidRPr="00CF490A" w:rsidRDefault="00A41B2A" w:rsidP="00CF490A">
            <w:pPr>
              <w:pStyle w:val="Default"/>
              <w:numPr>
                <w:ilvl w:val="1"/>
                <w:numId w:val="19"/>
              </w:numPr>
              <w:spacing w:after="97"/>
              <w:contextualSpacing/>
              <w:jc w:val="both"/>
              <w:rPr>
                <w:rFonts w:asciiTheme="minorHAnsi" w:hAnsiTheme="minorHAnsi" w:cstheme="minorHAnsi"/>
              </w:rPr>
            </w:pPr>
            <w:r w:rsidRPr="00CF490A">
              <w:rPr>
                <w:rFonts w:asciiTheme="minorHAnsi" w:hAnsiTheme="minorHAnsi" w:cstheme="minorHAnsi"/>
              </w:rPr>
              <w:t>Government commitments to meeting agreements made in treaties, laws, policies and programmes such as:</w:t>
            </w:r>
          </w:p>
          <w:p w14:paraId="2FB2C22B" w14:textId="4DD9B2DA"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The existence of local policies, plans and legislation aligned to the treaties and to national development plans to govern the EI sector</w:t>
            </w:r>
            <w:r w:rsidR="00AA760B" w:rsidRPr="00CF490A">
              <w:rPr>
                <w:rFonts w:asciiTheme="minorHAnsi" w:hAnsiTheme="minorHAnsi" w:cstheme="minorHAnsi"/>
              </w:rPr>
              <w:t>.</w:t>
            </w:r>
            <w:r w:rsidRPr="00CF490A">
              <w:rPr>
                <w:rFonts w:asciiTheme="minorHAnsi" w:hAnsiTheme="minorHAnsi" w:cstheme="minorHAnsi"/>
              </w:rPr>
              <w:t xml:space="preserve"> </w:t>
            </w:r>
          </w:p>
          <w:p w14:paraId="7B3B09B3" w14:textId="6547C362" w:rsidR="00FA61D1"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Mainstreaming of major development goals (SDGs) into EI legislation, plans and policies</w:t>
            </w:r>
            <w:r w:rsidR="00AA760B" w:rsidRPr="00CF490A">
              <w:rPr>
                <w:rFonts w:asciiTheme="minorHAnsi" w:hAnsiTheme="minorHAnsi" w:cstheme="minorHAnsi"/>
              </w:rPr>
              <w:t>.</w:t>
            </w:r>
            <w:r w:rsidRPr="00CF490A">
              <w:rPr>
                <w:rFonts w:asciiTheme="minorHAnsi" w:hAnsiTheme="minorHAnsi" w:cstheme="minorHAnsi"/>
              </w:rPr>
              <w:t xml:space="preserve"> </w:t>
            </w:r>
          </w:p>
          <w:p w14:paraId="507E6D3B" w14:textId="14E5AA33" w:rsidR="00FA61D1"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 xml:space="preserve">Mechanisms to monitor, follow up, review and report on the progress in implementing </w:t>
            </w:r>
            <w:r w:rsidR="00AA760B" w:rsidRPr="00CF490A">
              <w:rPr>
                <w:rFonts w:asciiTheme="minorHAnsi" w:hAnsiTheme="minorHAnsi" w:cstheme="minorHAnsi"/>
              </w:rPr>
              <w:t>SDGs.</w:t>
            </w:r>
          </w:p>
          <w:p w14:paraId="40A7365D" w14:textId="3DEB5AF0"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 xml:space="preserve">Resources and capacities (means of implementation) needed to implement </w:t>
            </w:r>
            <w:r w:rsidR="00AD4EBC" w:rsidRPr="00CF490A">
              <w:rPr>
                <w:rFonts w:asciiTheme="minorHAnsi" w:hAnsiTheme="minorHAnsi" w:cstheme="minorHAnsi"/>
              </w:rPr>
              <w:t>SDGs.</w:t>
            </w:r>
            <w:r w:rsidRPr="00CF490A">
              <w:rPr>
                <w:rFonts w:asciiTheme="minorHAnsi" w:hAnsiTheme="minorHAnsi" w:cstheme="minorHAnsi"/>
              </w:rPr>
              <w:t xml:space="preserve"> </w:t>
            </w:r>
          </w:p>
          <w:p w14:paraId="258E5A67" w14:textId="77777777" w:rsidR="00A41B2A" w:rsidRPr="00CF490A" w:rsidRDefault="00A41B2A" w:rsidP="00CF490A">
            <w:pPr>
              <w:pStyle w:val="Default"/>
              <w:contextualSpacing/>
              <w:jc w:val="both"/>
              <w:rPr>
                <w:rFonts w:asciiTheme="minorHAnsi" w:hAnsiTheme="minorHAnsi" w:cstheme="minorHAnsi"/>
              </w:rPr>
            </w:pPr>
          </w:p>
          <w:p w14:paraId="7A3ABCAC" w14:textId="4D8FEAA4" w:rsidR="00A41B2A" w:rsidRPr="00CF490A" w:rsidRDefault="00A41B2A" w:rsidP="00CF490A">
            <w:pPr>
              <w:pStyle w:val="Default"/>
              <w:contextualSpacing/>
              <w:jc w:val="both"/>
              <w:rPr>
                <w:rFonts w:asciiTheme="minorHAnsi" w:hAnsiTheme="minorHAnsi" w:cstheme="minorHAnsi"/>
              </w:rPr>
            </w:pPr>
            <w:r w:rsidRPr="00CF490A">
              <w:rPr>
                <w:rFonts w:asciiTheme="minorHAnsi" w:hAnsiTheme="minorHAnsi" w:cstheme="minorHAnsi"/>
              </w:rPr>
              <w:t xml:space="preserve">Government efforts to ensure EI companies comply with environmental and social laws and regulations including: </w:t>
            </w:r>
          </w:p>
          <w:p w14:paraId="69DD630D" w14:textId="42E8F418"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The process of assessing and approving Environmental Impact Assessments, Environmental Management Plans and Environmental Social Impact Assessments</w:t>
            </w:r>
            <w:r w:rsidR="00AD4EBC" w:rsidRPr="00CF490A">
              <w:rPr>
                <w:rFonts w:asciiTheme="minorHAnsi" w:hAnsiTheme="minorHAnsi" w:cstheme="minorHAnsi"/>
              </w:rPr>
              <w:t>.</w:t>
            </w:r>
          </w:p>
          <w:p w14:paraId="6D2DDEAF" w14:textId="00E5F529"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Whether regulatory agencies enforce the submission of Environmental Impact Assessments, Environmental Management Plan and Social Impact Assessments by EI companie</w:t>
            </w:r>
            <w:r w:rsidR="00AD4EBC" w:rsidRPr="00CF490A">
              <w:rPr>
                <w:rFonts w:asciiTheme="minorHAnsi" w:hAnsiTheme="minorHAnsi" w:cstheme="minorHAnsi"/>
              </w:rPr>
              <w:t>s.</w:t>
            </w:r>
          </w:p>
          <w:p w14:paraId="13C4CE2C" w14:textId="10FACD3C"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The technical capacity of regulators to regularly monitor, report and follow-up on environmental and social issues</w:t>
            </w:r>
            <w:r w:rsidR="00AD4EBC" w:rsidRPr="00CF490A">
              <w:rPr>
                <w:rFonts w:asciiTheme="minorHAnsi" w:hAnsiTheme="minorHAnsi" w:cstheme="minorHAnsi"/>
              </w:rPr>
              <w:t>.</w:t>
            </w:r>
            <w:r w:rsidRPr="00CF490A">
              <w:rPr>
                <w:rFonts w:asciiTheme="minorHAnsi" w:hAnsiTheme="minorHAnsi" w:cstheme="minorHAnsi"/>
              </w:rPr>
              <w:t xml:space="preserve"> </w:t>
            </w:r>
          </w:p>
          <w:p w14:paraId="0026255C" w14:textId="1D9664AE"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The effectiveness and adequacy of the system for regular monitoring, reporting and follow-up on environmental and social issues</w:t>
            </w:r>
            <w:r w:rsidR="00AD4EBC" w:rsidRPr="00CF490A">
              <w:rPr>
                <w:rFonts w:asciiTheme="minorHAnsi" w:hAnsiTheme="minorHAnsi" w:cstheme="minorHAnsi"/>
              </w:rPr>
              <w:t>.</w:t>
            </w:r>
          </w:p>
          <w:p w14:paraId="5273F6D0" w14:textId="1B653E33"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Adequate supervision of EI activities</w:t>
            </w:r>
            <w:r w:rsidR="00AD4EBC" w:rsidRPr="00CF490A">
              <w:rPr>
                <w:rFonts w:asciiTheme="minorHAnsi" w:hAnsiTheme="minorHAnsi" w:cstheme="minorHAnsi"/>
              </w:rPr>
              <w:t>.</w:t>
            </w:r>
          </w:p>
          <w:p w14:paraId="2D9CC216" w14:textId="5E885D33" w:rsidR="00A41B2A" w:rsidRPr="00AA4FB2" w:rsidRDefault="00A41B2A" w:rsidP="00AA4FB2">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Efficient and effective management of funds (if any) for environmental and social monitoring</w:t>
            </w:r>
            <w:r w:rsidR="00AD4EBC" w:rsidRPr="00CF490A">
              <w:rPr>
                <w:rFonts w:asciiTheme="minorHAnsi" w:hAnsiTheme="minorHAnsi" w:cstheme="minorHAnsi"/>
              </w:rPr>
              <w:t>.</w:t>
            </w:r>
          </w:p>
        </w:tc>
      </w:tr>
      <w:tr w:rsidR="00A41B2A" w:rsidRPr="00CF490A" w14:paraId="1E31F111" w14:textId="77777777" w:rsidTr="001E4372">
        <w:trPr>
          <w:trHeight w:val="513"/>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1B38E9B2" w14:textId="77777777" w:rsidR="00A41B2A" w:rsidRPr="00CF490A" w:rsidRDefault="00A41B2A"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2</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C6DE7F" w14:textId="71B0B85F" w:rsidR="00A41B2A" w:rsidRPr="00CF490A" w:rsidRDefault="00A41B2A" w:rsidP="00CF490A">
            <w:pPr>
              <w:pStyle w:val="Default"/>
              <w:contextualSpacing/>
              <w:jc w:val="both"/>
              <w:rPr>
                <w:rFonts w:asciiTheme="minorHAnsi" w:hAnsiTheme="minorHAnsi" w:cstheme="minorHAnsi"/>
                <w:b/>
              </w:rPr>
            </w:pPr>
            <w:r w:rsidRPr="00CF490A">
              <w:rPr>
                <w:rFonts w:asciiTheme="minorHAnsi" w:hAnsiTheme="minorHAnsi" w:cstheme="minorHAnsi"/>
                <w:b/>
              </w:rPr>
              <w:t>Decommissioning, rehabilitation and closure</w:t>
            </w:r>
          </w:p>
          <w:p w14:paraId="13D550DC" w14:textId="76F93369" w:rsidR="00A41B2A" w:rsidRPr="00CF490A" w:rsidRDefault="00A41B2A" w:rsidP="00CF490A">
            <w:pPr>
              <w:pStyle w:val="Default"/>
              <w:spacing w:after="97"/>
              <w:contextualSpacing/>
              <w:jc w:val="both"/>
              <w:rPr>
                <w:rFonts w:asciiTheme="minorHAnsi" w:hAnsiTheme="minorHAnsi" w:cstheme="minorHAnsi"/>
              </w:rPr>
            </w:pPr>
            <w:r w:rsidRPr="00CF490A">
              <w:rPr>
                <w:rFonts w:asciiTheme="minorHAnsi" w:hAnsiTheme="minorHAnsi" w:cstheme="minorHAnsi"/>
              </w:rPr>
              <w:t xml:space="preserve">Governments efforts to ensure compliance such as: </w:t>
            </w:r>
          </w:p>
          <w:p w14:paraId="1E5283B5" w14:textId="78B4EAFC"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Technical capacity of Government agencies processing and reviewing closure plans</w:t>
            </w:r>
            <w:r w:rsidR="00AD4EBC" w:rsidRPr="00CF490A">
              <w:rPr>
                <w:rFonts w:asciiTheme="minorHAnsi" w:hAnsiTheme="minorHAnsi" w:cstheme="minorHAnsi"/>
              </w:rPr>
              <w:t>.</w:t>
            </w:r>
          </w:p>
          <w:p w14:paraId="5E937ADD" w14:textId="70C1FADC"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Whether the processes followed by the regulator ensure timely and cost-effective identification and rehabilitation of EI facilities to minimise adverse social and environmental impacts</w:t>
            </w:r>
            <w:r w:rsidR="00AD4EBC" w:rsidRPr="00CF490A">
              <w:rPr>
                <w:rFonts w:asciiTheme="minorHAnsi" w:hAnsiTheme="minorHAnsi" w:cstheme="minorHAnsi"/>
              </w:rPr>
              <w:t>.</w:t>
            </w:r>
          </w:p>
          <w:p w14:paraId="5ADD4E65" w14:textId="0CEB617F"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 xml:space="preserve">Whether the regulator implement strategies that ensures that companies provide guarantee in the form of bonds or cash as security for the likelihood of failure of companies to rehabilitate or properly rehabilitate drilled or mined areas. </w:t>
            </w:r>
          </w:p>
          <w:p w14:paraId="771557EC" w14:textId="0E240574" w:rsidR="00A41B2A" w:rsidRPr="00CF490A" w:rsidRDefault="00FA61D1"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lastRenderedPageBreak/>
              <w:t>T</w:t>
            </w:r>
            <w:r w:rsidR="00A41B2A" w:rsidRPr="00CF490A">
              <w:rPr>
                <w:rFonts w:asciiTheme="minorHAnsi" w:hAnsiTheme="minorHAnsi" w:cstheme="minorHAnsi"/>
              </w:rPr>
              <w:t>he adequacy of associated cost estimates and the management of financial assurance</w:t>
            </w:r>
            <w:r w:rsidR="00AD4EBC" w:rsidRPr="00CF490A">
              <w:rPr>
                <w:rFonts w:asciiTheme="minorHAnsi" w:hAnsiTheme="minorHAnsi" w:cstheme="minorHAnsi"/>
              </w:rPr>
              <w:t>.</w:t>
            </w:r>
          </w:p>
          <w:p w14:paraId="08DAF3C5" w14:textId="29A5BA3E"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Assurance of adequacy of rehabilitation works by the EI company/player</w:t>
            </w:r>
            <w:r w:rsidR="00FA61D1" w:rsidRPr="00CF490A">
              <w:rPr>
                <w:rFonts w:asciiTheme="minorHAnsi" w:hAnsiTheme="minorHAnsi" w:cstheme="minorHAnsi"/>
              </w:rPr>
              <w:t>.</w:t>
            </w:r>
            <w:r w:rsidRPr="00CF490A">
              <w:rPr>
                <w:rFonts w:asciiTheme="minorHAnsi" w:hAnsiTheme="minorHAnsi" w:cstheme="minorHAnsi"/>
              </w:rPr>
              <w:t xml:space="preserve"> </w:t>
            </w:r>
          </w:p>
          <w:p w14:paraId="25A66699" w14:textId="0ADF0A95" w:rsidR="00A41B2A" w:rsidRPr="00CF490A" w:rsidRDefault="00A41B2A" w:rsidP="00CF490A">
            <w:pPr>
              <w:pStyle w:val="Default"/>
              <w:numPr>
                <w:ilvl w:val="0"/>
                <w:numId w:val="17"/>
              </w:numPr>
              <w:spacing w:after="97"/>
              <w:contextualSpacing/>
              <w:jc w:val="both"/>
              <w:rPr>
                <w:rFonts w:asciiTheme="minorHAnsi" w:hAnsiTheme="minorHAnsi" w:cstheme="minorHAnsi"/>
              </w:rPr>
            </w:pPr>
            <w:r w:rsidRPr="00CF490A">
              <w:rPr>
                <w:rFonts w:asciiTheme="minorHAnsi" w:hAnsiTheme="minorHAnsi" w:cstheme="minorHAnsi"/>
              </w:rPr>
              <w:t>Availability of bonds and guarantees against failure to rehabilitate destroyed environment/communities/livelihoods</w:t>
            </w:r>
            <w:r w:rsidR="00FA61D1" w:rsidRPr="00CF490A">
              <w:rPr>
                <w:rFonts w:asciiTheme="minorHAnsi" w:hAnsiTheme="minorHAnsi" w:cstheme="minorHAnsi"/>
              </w:rPr>
              <w:t>.</w:t>
            </w:r>
          </w:p>
          <w:p w14:paraId="332499ED" w14:textId="58BAAD33" w:rsidR="00A41B2A" w:rsidRPr="00CF490A" w:rsidRDefault="00A41B2A" w:rsidP="00CF490A">
            <w:pPr>
              <w:pStyle w:val="Default"/>
              <w:spacing w:after="97"/>
              <w:contextualSpacing/>
              <w:jc w:val="both"/>
              <w:rPr>
                <w:rFonts w:asciiTheme="minorHAnsi" w:hAnsiTheme="minorHAnsi" w:cstheme="minorHAnsi"/>
              </w:rPr>
            </w:pPr>
            <w:r w:rsidRPr="00CF490A">
              <w:rPr>
                <w:rFonts w:asciiTheme="minorHAnsi" w:hAnsiTheme="minorHAnsi" w:cstheme="minorHAnsi"/>
              </w:rPr>
              <w:t>The regulatory framework’s completeness in assigning roles and responsibilities in decommissioning and closure, including liability in the event of non-compliance by contract/license holders</w:t>
            </w:r>
            <w:r w:rsidR="00FA61D1" w:rsidRPr="00CF490A">
              <w:rPr>
                <w:rFonts w:asciiTheme="minorHAnsi" w:hAnsiTheme="minorHAnsi" w:cstheme="minorHAnsi"/>
              </w:rPr>
              <w:t>.</w:t>
            </w:r>
            <w:r w:rsidRPr="00CF490A">
              <w:rPr>
                <w:rFonts w:asciiTheme="minorHAnsi" w:hAnsiTheme="minorHAnsi" w:cstheme="minorHAnsi"/>
              </w:rPr>
              <w:t xml:space="preserve"> </w:t>
            </w:r>
          </w:p>
        </w:tc>
      </w:tr>
      <w:tr w:rsidR="00A41B2A" w:rsidRPr="00CF490A" w14:paraId="25BFFDD3" w14:textId="77777777" w:rsidTr="001E4372">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7CF9D617" w14:textId="77777777" w:rsidR="00A41B2A" w:rsidRPr="00CF490A" w:rsidRDefault="00A41B2A"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lastRenderedPageBreak/>
              <w:t>3</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3AF244" w14:textId="77777777" w:rsidR="00A41B2A" w:rsidRPr="00CF490A" w:rsidRDefault="00A41B2A" w:rsidP="00CF490A">
            <w:pPr>
              <w:pStyle w:val="Default"/>
              <w:contextualSpacing/>
              <w:jc w:val="both"/>
              <w:rPr>
                <w:rFonts w:asciiTheme="minorHAnsi" w:hAnsiTheme="minorHAnsi" w:cstheme="minorHAnsi"/>
              </w:rPr>
            </w:pPr>
            <w:r w:rsidRPr="00CF490A">
              <w:rPr>
                <w:rFonts w:asciiTheme="minorHAnsi" w:hAnsiTheme="minorHAnsi" w:cstheme="minorHAnsi"/>
                <w:b/>
                <w:bCs/>
              </w:rPr>
              <w:t xml:space="preserve">Community development </w:t>
            </w:r>
          </w:p>
          <w:p w14:paraId="746CFA63" w14:textId="77BFDA3C" w:rsidR="00A41B2A" w:rsidRPr="00CF490A" w:rsidRDefault="00A41B2A" w:rsidP="00CF490A">
            <w:pPr>
              <w:pStyle w:val="Default"/>
              <w:numPr>
                <w:ilvl w:val="0"/>
                <w:numId w:val="23"/>
              </w:numPr>
              <w:spacing w:after="92"/>
              <w:contextualSpacing/>
              <w:jc w:val="both"/>
              <w:rPr>
                <w:rFonts w:asciiTheme="minorHAnsi" w:hAnsiTheme="minorHAnsi" w:cstheme="minorHAnsi"/>
              </w:rPr>
            </w:pPr>
            <w:r w:rsidRPr="00CF490A">
              <w:rPr>
                <w:rFonts w:asciiTheme="minorHAnsi" w:hAnsiTheme="minorHAnsi" w:cstheme="minorHAnsi"/>
              </w:rPr>
              <w:t xml:space="preserve">Availability of </w:t>
            </w:r>
            <w:r w:rsidR="00E52089" w:rsidRPr="00CF490A">
              <w:rPr>
                <w:rFonts w:asciiTheme="minorHAnsi" w:hAnsiTheme="minorHAnsi" w:cstheme="minorHAnsi"/>
              </w:rPr>
              <w:t>c</w:t>
            </w:r>
            <w:r w:rsidRPr="00CF490A">
              <w:rPr>
                <w:rFonts w:asciiTheme="minorHAnsi" w:hAnsiTheme="minorHAnsi" w:cstheme="minorHAnsi"/>
              </w:rPr>
              <w:t>ommunity development schemes/agreements/plans’ and funds’ aimed at ensuring that EI activities benefit the local communities</w:t>
            </w:r>
            <w:r w:rsidR="00FA61D1" w:rsidRPr="00CF490A">
              <w:rPr>
                <w:rFonts w:asciiTheme="minorHAnsi" w:hAnsiTheme="minorHAnsi" w:cstheme="minorHAnsi"/>
              </w:rPr>
              <w:t>.</w:t>
            </w:r>
            <w:r w:rsidRPr="00CF490A">
              <w:rPr>
                <w:rFonts w:asciiTheme="minorHAnsi" w:hAnsiTheme="minorHAnsi" w:cstheme="minorHAnsi"/>
              </w:rPr>
              <w:t xml:space="preserve"> </w:t>
            </w:r>
          </w:p>
          <w:p w14:paraId="398EA370" w14:textId="7DFC9BC8" w:rsidR="00A41B2A" w:rsidRPr="00CF490A" w:rsidRDefault="00A41B2A" w:rsidP="00CF490A">
            <w:pPr>
              <w:pStyle w:val="Default"/>
              <w:numPr>
                <w:ilvl w:val="0"/>
                <w:numId w:val="23"/>
              </w:numPr>
              <w:contextualSpacing/>
              <w:jc w:val="both"/>
              <w:rPr>
                <w:rFonts w:asciiTheme="minorHAnsi" w:hAnsiTheme="minorHAnsi" w:cstheme="minorHAnsi"/>
              </w:rPr>
            </w:pPr>
            <w:r w:rsidRPr="00CF490A">
              <w:rPr>
                <w:rFonts w:asciiTheme="minorHAnsi" w:hAnsiTheme="minorHAnsi" w:cstheme="minorHAnsi"/>
              </w:rPr>
              <w:t>Alignment of such plans to specific SDGs, targets and indicators as well as to regional and national plans and policies</w:t>
            </w:r>
            <w:r w:rsidR="00FA61D1" w:rsidRPr="00CF490A">
              <w:rPr>
                <w:rFonts w:asciiTheme="minorHAnsi" w:hAnsiTheme="minorHAnsi" w:cstheme="minorHAnsi"/>
              </w:rPr>
              <w:t>.</w:t>
            </w:r>
            <w:r w:rsidRPr="00CF490A">
              <w:rPr>
                <w:rFonts w:asciiTheme="minorHAnsi" w:hAnsiTheme="minorHAnsi" w:cstheme="minorHAnsi"/>
              </w:rPr>
              <w:t xml:space="preserve"> </w:t>
            </w:r>
          </w:p>
          <w:p w14:paraId="7D259487" w14:textId="69B4D0C9" w:rsidR="00A41B2A" w:rsidRPr="00CF490A" w:rsidRDefault="00A41B2A" w:rsidP="00CF490A">
            <w:pPr>
              <w:pStyle w:val="ListParagraph"/>
              <w:widowControl/>
              <w:numPr>
                <w:ilvl w:val="0"/>
                <w:numId w:val="23"/>
              </w:numPr>
              <w:adjustRightInd w:val="0"/>
              <w:contextualSpacing/>
              <w:jc w:val="both"/>
              <w:rPr>
                <w:rFonts w:asciiTheme="minorHAnsi" w:eastAsiaTheme="minorHAnsi" w:hAnsiTheme="minorHAnsi" w:cstheme="minorHAnsi"/>
                <w:color w:val="000000"/>
                <w:sz w:val="24"/>
                <w:szCs w:val="24"/>
                <w:lang w:val="en-US" w:eastAsia="en-US" w:bidi="ar-SA"/>
              </w:rPr>
            </w:pPr>
            <w:r w:rsidRPr="00CF490A">
              <w:rPr>
                <w:rFonts w:asciiTheme="minorHAnsi" w:eastAsiaTheme="minorHAnsi" w:hAnsiTheme="minorHAnsi" w:cstheme="minorHAnsi"/>
                <w:color w:val="000000"/>
                <w:sz w:val="24"/>
                <w:szCs w:val="24"/>
                <w:lang w:val="en-US" w:eastAsia="en-US" w:bidi="ar-SA"/>
              </w:rPr>
              <w:t>Availability of monitoring indicators for the schemes</w:t>
            </w:r>
            <w:r w:rsidR="00FA61D1" w:rsidRPr="00CF490A">
              <w:rPr>
                <w:rFonts w:asciiTheme="minorHAnsi" w:eastAsiaTheme="minorHAnsi" w:hAnsiTheme="minorHAnsi" w:cstheme="minorHAnsi"/>
                <w:color w:val="000000"/>
                <w:sz w:val="24"/>
                <w:szCs w:val="24"/>
                <w:lang w:val="en-US" w:eastAsia="en-US" w:bidi="ar-SA"/>
              </w:rPr>
              <w:t>.</w:t>
            </w:r>
          </w:p>
        </w:tc>
      </w:tr>
      <w:tr w:rsidR="00A41B2A" w:rsidRPr="00CF490A" w14:paraId="0826E278" w14:textId="77777777" w:rsidTr="001E4372">
        <w:tblPrEx>
          <w:tblCellMar>
            <w:right w:w="57" w:type="dxa"/>
          </w:tblCellMar>
        </w:tblPrEx>
        <w:trPr>
          <w:trHeight w:val="1074"/>
        </w:trPr>
        <w:tc>
          <w:tcPr>
            <w:tcW w:w="1379" w:type="dxa"/>
            <w:tcBorders>
              <w:top w:val="single" w:sz="4" w:space="0" w:color="000000"/>
              <w:left w:val="single" w:sz="4" w:space="0" w:color="000000"/>
              <w:bottom w:val="single" w:sz="4" w:space="0" w:color="000000"/>
              <w:right w:val="single" w:sz="4" w:space="0" w:color="000000"/>
            </w:tcBorders>
            <w:shd w:val="clear" w:color="auto" w:fill="219F96" w:themeFill="accent1"/>
            <w:vAlign w:val="center"/>
          </w:tcPr>
          <w:p w14:paraId="51794804" w14:textId="77777777" w:rsidR="00A41B2A" w:rsidRPr="00CF490A" w:rsidRDefault="00A41B2A" w:rsidP="00CF490A">
            <w:pPr>
              <w:contextualSpacing/>
              <w:jc w:val="both"/>
              <w:rPr>
                <w:rFonts w:asciiTheme="minorHAnsi" w:hAnsiTheme="minorHAnsi" w:cstheme="minorHAnsi"/>
                <w:b/>
                <w:color w:val="FFFFFF" w:themeColor="background1"/>
                <w:sz w:val="24"/>
                <w:szCs w:val="24"/>
                <w:lang w:val="en-ZA"/>
              </w:rPr>
            </w:pPr>
            <w:r w:rsidRPr="00CF490A">
              <w:rPr>
                <w:rFonts w:asciiTheme="minorHAnsi" w:hAnsiTheme="minorHAnsi" w:cstheme="minorHAnsi"/>
                <w:b/>
                <w:color w:val="FFFFFF" w:themeColor="background1"/>
                <w:sz w:val="24"/>
                <w:szCs w:val="24"/>
                <w:lang w:val="en-ZA"/>
              </w:rPr>
              <w:t>4</w:t>
            </w:r>
          </w:p>
        </w:tc>
        <w:tc>
          <w:tcPr>
            <w:tcW w:w="78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6DDCEE" w14:textId="77777777" w:rsidR="00A41B2A" w:rsidRPr="00CF490A" w:rsidRDefault="00A41B2A" w:rsidP="00CF490A">
            <w:pPr>
              <w:pStyle w:val="Default"/>
              <w:contextualSpacing/>
              <w:jc w:val="both"/>
              <w:rPr>
                <w:rFonts w:asciiTheme="minorHAnsi" w:hAnsiTheme="minorHAnsi" w:cstheme="minorHAnsi"/>
              </w:rPr>
            </w:pPr>
            <w:r w:rsidRPr="00CF490A">
              <w:rPr>
                <w:rFonts w:asciiTheme="minorHAnsi" w:hAnsiTheme="minorHAnsi" w:cstheme="minorHAnsi"/>
                <w:b/>
                <w:bCs/>
              </w:rPr>
              <w:t xml:space="preserve">Local content </w:t>
            </w:r>
          </w:p>
          <w:p w14:paraId="08C189EE" w14:textId="2B491293" w:rsidR="00A41B2A" w:rsidRPr="00CF490A" w:rsidRDefault="00A41B2A" w:rsidP="00CF490A">
            <w:pPr>
              <w:pStyle w:val="Default"/>
              <w:numPr>
                <w:ilvl w:val="0"/>
                <w:numId w:val="24"/>
              </w:numPr>
              <w:contextualSpacing/>
              <w:jc w:val="both"/>
              <w:rPr>
                <w:rFonts w:asciiTheme="minorHAnsi" w:hAnsiTheme="minorHAnsi" w:cstheme="minorHAnsi"/>
              </w:rPr>
            </w:pPr>
            <w:r w:rsidRPr="00CF490A">
              <w:rPr>
                <w:rFonts w:asciiTheme="minorHAnsi" w:hAnsiTheme="minorHAnsi" w:cstheme="minorHAnsi"/>
              </w:rPr>
              <w:t>Whether the legal framework in their country has provided for local content requirements, and establish the comprehensiveness through benchmarking with countries that have a robust framework on local content</w:t>
            </w:r>
            <w:r w:rsidR="00FA61D1" w:rsidRPr="00CF490A">
              <w:rPr>
                <w:rFonts w:asciiTheme="minorHAnsi" w:hAnsiTheme="minorHAnsi" w:cstheme="minorHAnsi"/>
              </w:rPr>
              <w:t>.</w:t>
            </w:r>
            <w:r w:rsidRPr="00CF490A">
              <w:rPr>
                <w:rFonts w:asciiTheme="minorHAnsi" w:hAnsiTheme="minorHAnsi" w:cstheme="minorHAnsi"/>
              </w:rPr>
              <w:t xml:space="preserve"> </w:t>
            </w:r>
          </w:p>
          <w:p w14:paraId="5D6FB0C2" w14:textId="77777777" w:rsidR="00A41B2A" w:rsidRPr="00CF490A" w:rsidRDefault="00A41B2A" w:rsidP="00CF490A">
            <w:pPr>
              <w:pStyle w:val="Default"/>
              <w:numPr>
                <w:ilvl w:val="0"/>
                <w:numId w:val="24"/>
              </w:numPr>
              <w:contextualSpacing/>
              <w:jc w:val="both"/>
              <w:rPr>
                <w:rFonts w:asciiTheme="minorHAnsi" w:hAnsiTheme="minorHAnsi" w:cstheme="minorHAnsi"/>
              </w:rPr>
            </w:pPr>
            <w:r w:rsidRPr="00CF490A">
              <w:rPr>
                <w:rFonts w:asciiTheme="minorHAnsi" w:hAnsiTheme="minorHAnsi" w:cstheme="minorHAnsi"/>
              </w:rPr>
              <w:t xml:space="preserve">Assessing the effectiveness of the legal framework through auditing whether or to what extent the relevant government ministries, departments or agencies are monitoring the implementation of local content requirements. </w:t>
            </w:r>
          </w:p>
          <w:p w14:paraId="6BC88F1B" w14:textId="351ABA73" w:rsidR="00A41B2A" w:rsidRPr="00CF490A" w:rsidRDefault="00A41B2A" w:rsidP="00CF490A">
            <w:pPr>
              <w:pStyle w:val="Default"/>
              <w:contextualSpacing/>
              <w:jc w:val="both"/>
              <w:rPr>
                <w:rFonts w:asciiTheme="minorHAnsi" w:hAnsiTheme="minorHAnsi" w:cstheme="minorHAnsi"/>
              </w:rPr>
            </w:pPr>
          </w:p>
        </w:tc>
      </w:tr>
    </w:tbl>
    <w:p w14:paraId="3A683642" w14:textId="77777777" w:rsidR="006C3700" w:rsidRPr="00CF490A" w:rsidRDefault="006C3700" w:rsidP="00CF490A">
      <w:pPr>
        <w:contextualSpacing/>
        <w:jc w:val="both"/>
        <w:rPr>
          <w:rFonts w:asciiTheme="minorHAnsi" w:hAnsiTheme="minorHAnsi" w:cstheme="minorHAnsi"/>
          <w:b/>
          <w:sz w:val="24"/>
          <w:szCs w:val="24"/>
        </w:rPr>
      </w:pPr>
    </w:p>
    <w:sectPr w:rsidR="006C3700" w:rsidRPr="00CF490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83A08" w14:textId="77777777" w:rsidR="00256F19" w:rsidRDefault="00256F19" w:rsidP="0091135B">
      <w:r>
        <w:separator/>
      </w:r>
    </w:p>
  </w:endnote>
  <w:endnote w:type="continuationSeparator" w:id="0">
    <w:p w14:paraId="79152777" w14:textId="77777777" w:rsidR="00256F19" w:rsidRDefault="00256F19" w:rsidP="00911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173910"/>
      <w:docPartObj>
        <w:docPartGallery w:val="Page Numbers (Bottom of Page)"/>
        <w:docPartUnique/>
      </w:docPartObj>
    </w:sdtPr>
    <w:sdtEndPr>
      <w:rPr>
        <w:noProof/>
      </w:rPr>
    </w:sdtEndPr>
    <w:sdtContent>
      <w:p w14:paraId="73531C5F" w14:textId="133CD78F" w:rsidR="00F11B16" w:rsidRDefault="00F11B16">
        <w:pPr>
          <w:pStyle w:val="Footer"/>
          <w:jc w:val="center"/>
        </w:pPr>
        <w:r>
          <w:fldChar w:fldCharType="begin"/>
        </w:r>
        <w:r>
          <w:instrText xml:space="preserve"> PAGE   \* MERGEFORMAT </w:instrText>
        </w:r>
        <w:r>
          <w:fldChar w:fldCharType="separate"/>
        </w:r>
        <w:r w:rsidR="00A35113">
          <w:rPr>
            <w:noProof/>
          </w:rPr>
          <w:t>1</w:t>
        </w:r>
        <w:r>
          <w:rPr>
            <w:noProof/>
          </w:rPr>
          <w:fldChar w:fldCharType="end"/>
        </w:r>
      </w:p>
    </w:sdtContent>
  </w:sdt>
  <w:p w14:paraId="6C54DB93" w14:textId="4B861EA9" w:rsidR="0091135B" w:rsidRDefault="00911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D0576" w14:textId="77777777" w:rsidR="00256F19" w:rsidRDefault="00256F19" w:rsidP="0091135B">
      <w:r>
        <w:separator/>
      </w:r>
    </w:p>
  </w:footnote>
  <w:footnote w:type="continuationSeparator" w:id="0">
    <w:p w14:paraId="661FB875" w14:textId="77777777" w:rsidR="00256F19" w:rsidRDefault="00256F19" w:rsidP="00911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93DC4" w14:textId="4F52B765" w:rsidR="0099127B" w:rsidRDefault="0099127B" w:rsidP="0099127B">
    <w:pPr>
      <w:pStyle w:val="Header"/>
      <w:jc w:val="right"/>
    </w:pPr>
    <w:r>
      <w:rPr>
        <w:noProof/>
        <w:lang w:val="en-GB" w:eastAsia="en-GB" w:bidi="ar-SA"/>
      </w:rPr>
      <w:drawing>
        <wp:inline distT="0" distB="0" distL="0" distR="0" wp14:anchorId="33527A3B" wp14:editId="7E27E96B">
          <wp:extent cx="1168982" cy="700405"/>
          <wp:effectExtent l="0" t="0" r="0" b="4445"/>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ROSAI-E Logo.png"/>
                  <pic:cNvPicPr/>
                </pic:nvPicPr>
                <pic:blipFill>
                  <a:blip r:embed="rId1">
                    <a:extLst>
                      <a:ext uri="{28A0092B-C50C-407E-A947-70E740481C1C}">
                        <a14:useLocalDpi xmlns:a14="http://schemas.microsoft.com/office/drawing/2010/main" val="0"/>
                      </a:ext>
                    </a:extLst>
                  </a:blip>
                  <a:stretch>
                    <a:fillRect/>
                  </a:stretch>
                </pic:blipFill>
                <pic:spPr>
                  <a:xfrm>
                    <a:off x="0" y="0"/>
                    <a:ext cx="1174391" cy="7036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B32D54"/>
    <w:multiLevelType w:val="hybridMultilevel"/>
    <w:tmpl w:val="CCFB2025"/>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2384F7B"/>
    <w:multiLevelType w:val="hybridMultilevel"/>
    <w:tmpl w:val="A197BDE6"/>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2B164F"/>
    <w:multiLevelType w:val="hybridMultilevel"/>
    <w:tmpl w:val="E27DC7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93F0F49"/>
    <w:multiLevelType w:val="hybridMultilevel"/>
    <w:tmpl w:val="0F98AE2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879B212"/>
    <w:multiLevelType w:val="hybridMultilevel"/>
    <w:tmpl w:val="E2BE1DBD"/>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ADCAFD5"/>
    <w:multiLevelType w:val="hybridMultilevel"/>
    <w:tmpl w:val="B8AC65E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CC316C"/>
    <w:multiLevelType w:val="hybridMultilevel"/>
    <w:tmpl w:val="15F6F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63A66"/>
    <w:multiLevelType w:val="hybridMultilevel"/>
    <w:tmpl w:val="48E29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274BC7"/>
    <w:multiLevelType w:val="hybridMultilevel"/>
    <w:tmpl w:val="A3AC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29758D"/>
    <w:multiLevelType w:val="hybridMultilevel"/>
    <w:tmpl w:val="C276D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4601D3B"/>
    <w:multiLevelType w:val="hybridMultilevel"/>
    <w:tmpl w:val="FE6286DC"/>
    <w:lvl w:ilvl="0" w:tplc="48368C3A">
      <w:start w:val="1"/>
      <w:numFmt w:val="decimal"/>
      <w:lvlText w:val="%1)"/>
      <w:lvlJc w:val="left"/>
      <w:pPr>
        <w:ind w:left="397" w:hanging="397"/>
      </w:pPr>
    </w:lvl>
    <w:lvl w:ilvl="1" w:tplc="23F4C2C4">
      <w:numFmt w:val="decimal"/>
      <w:lvlText w:val=""/>
      <w:lvlJc w:val="left"/>
      <w:pPr>
        <w:ind w:left="0" w:firstLine="0"/>
      </w:pPr>
    </w:lvl>
    <w:lvl w:ilvl="2" w:tplc="53288546">
      <w:numFmt w:val="decimal"/>
      <w:lvlText w:val=""/>
      <w:lvlJc w:val="left"/>
      <w:pPr>
        <w:ind w:left="0" w:firstLine="0"/>
      </w:pPr>
    </w:lvl>
    <w:lvl w:ilvl="3" w:tplc="5D469E04">
      <w:numFmt w:val="decimal"/>
      <w:lvlText w:val=""/>
      <w:lvlJc w:val="left"/>
      <w:pPr>
        <w:ind w:left="0" w:firstLine="0"/>
      </w:pPr>
    </w:lvl>
    <w:lvl w:ilvl="4" w:tplc="714CE262">
      <w:numFmt w:val="decimal"/>
      <w:lvlText w:val=""/>
      <w:lvlJc w:val="left"/>
      <w:pPr>
        <w:ind w:left="0" w:firstLine="0"/>
      </w:pPr>
    </w:lvl>
    <w:lvl w:ilvl="5" w:tplc="8C6A4E62">
      <w:numFmt w:val="decimal"/>
      <w:lvlText w:val=""/>
      <w:lvlJc w:val="left"/>
      <w:pPr>
        <w:ind w:left="0" w:firstLine="0"/>
      </w:pPr>
    </w:lvl>
    <w:lvl w:ilvl="6" w:tplc="70CA5256">
      <w:numFmt w:val="decimal"/>
      <w:lvlText w:val=""/>
      <w:lvlJc w:val="left"/>
      <w:pPr>
        <w:ind w:left="0" w:firstLine="0"/>
      </w:pPr>
    </w:lvl>
    <w:lvl w:ilvl="7" w:tplc="1B04B0A2">
      <w:numFmt w:val="decimal"/>
      <w:lvlText w:val=""/>
      <w:lvlJc w:val="left"/>
      <w:pPr>
        <w:ind w:left="0" w:firstLine="0"/>
      </w:pPr>
    </w:lvl>
    <w:lvl w:ilvl="8" w:tplc="EAA4583C">
      <w:numFmt w:val="decimal"/>
      <w:lvlText w:val=""/>
      <w:lvlJc w:val="left"/>
      <w:pPr>
        <w:ind w:left="0" w:firstLine="0"/>
      </w:pPr>
    </w:lvl>
  </w:abstractNum>
  <w:abstractNum w:abstractNumId="11" w15:restartNumberingAfterBreak="0">
    <w:nsid w:val="32534EE4"/>
    <w:multiLevelType w:val="hybridMultilevel"/>
    <w:tmpl w:val="A5DA1E52"/>
    <w:lvl w:ilvl="0" w:tplc="FFFFFFFF">
      <w:start w:val="1"/>
      <w:numFmt w:val="ideographDigital"/>
      <w:lvlText w:val=""/>
      <w:lvlJc w:val="left"/>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1CA240E"/>
    <w:multiLevelType w:val="hybridMultilevel"/>
    <w:tmpl w:val="A662A2EA"/>
    <w:lvl w:ilvl="0" w:tplc="8DFEAEF2">
      <w:numFmt w:val="bullet"/>
      <w:lvlText w:val=""/>
      <w:lvlJc w:val="left"/>
      <w:pPr>
        <w:ind w:left="1134" w:hanging="207"/>
      </w:pPr>
      <w:rPr>
        <w:rFonts w:ascii="Symbol" w:eastAsia="Symbol" w:hAnsi="Symbol" w:cs="Symbol" w:hint="default"/>
        <w:w w:val="100"/>
        <w:sz w:val="22"/>
        <w:szCs w:val="22"/>
        <w:lang w:val="en-ZA" w:eastAsia="en-ZA" w:bidi="en-ZA"/>
      </w:rPr>
    </w:lvl>
    <w:lvl w:ilvl="1" w:tplc="FA808B1E">
      <w:numFmt w:val="bullet"/>
      <w:lvlText w:val="o"/>
      <w:lvlJc w:val="left"/>
      <w:pPr>
        <w:ind w:left="2008" w:hanging="360"/>
      </w:pPr>
      <w:rPr>
        <w:rFonts w:ascii="Courier New" w:eastAsia="Courier New" w:hAnsi="Courier New" w:cs="Courier New" w:hint="default"/>
        <w:w w:val="100"/>
        <w:sz w:val="22"/>
        <w:szCs w:val="22"/>
        <w:lang w:val="en-ZA" w:eastAsia="en-ZA" w:bidi="en-ZA"/>
      </w:rPr>
    </w:lvl>
    <w:lvl w:ilvl="2" w:tplc="A3069084">
      <w:numFmt w:val="bullet"/>
      <w:lvlText w:val="•"/>
      <w:lvlJc w:val="left"/>
      <w:pPr>
        <w:ind w:left="2020" w:hanging="360"/>
      </w:pPr>
      <w:rPr>
        <w:lang w:val="en-ZA" w:eastAsia="en-ZA" w:bidi="en-ZA"/>
      </w:rPr>
    </w:lvl>
    <w:lvl w:ilvl="3" w:tplc="A3A8E3D8">
      <w:numFmt w:val="bullet"/>
      <w:lvlText w:val="•"/>
      <w:lvlJc w:val="left"/>
      <w:pPr>
        <w:ind w:left="3167" w:hanging="360"/>
      </w:pPr>
      <w:rPr>
        <w:lang w:val="en-ZA" w:eastAsia="en-ZA" w:bidi="en-ZA"/>
      </w:rPr>
    </w:lvl>
    <w:lvl w:ilvl="4" w:tplc="564AB480">
      <w:numFmt w:val="bullet"/>
      <w:lvlText w:val="•"/>
      <w:lvlJc w:val="left"/>
      <w:pPr>
        <w:ind w:left="4314" w:hanging="360"/>
      </w:pPr>
      <w:rPr>
        <w:lang w:val="en-ZA" w:eastAsia="en-ZA" w:bidi="en-ZA"/>
      </w:rPr>
    </w:lvl>
    <w:lvl w:ilvl="5" w:tplc="02E8D028">
      <w:numFmt w:val="bullet"/>
      <w:lvlText w:val="•"/>
      <w:lvlJc w:val="left"/>
      <w:pPr>
        <w:ind w:left="5462" w:hanging="360"/>
      </w:pPr>
      <w:rPr>
        <w:lang w:val="en-ZA" w:eastAsia="en-ZA" w:bidi="en-ZA"/>
      </w:rPr>
    </w:lvl>
    <w:lvl w:ilvl="6" w:tplc="3878CA6A">
      <w:numFmt w:val="bullet"/>
      <w:lvlText w:val="•"/>
      <w:lvlJc w:val="left"/>
      <w:pPr>
        <w:ind w:left="6609" w:hanging="360"/>
      </w:pPr>
      <w:rPr>
        <w:lang w:val="en-ZA" w:eastAsia="en-ZA" w:bidi="en-ZA"/>
      </w:rPr>
    </w:lvl>
    <w:lvl w:ilvl="7" w:tplc="DA0CB68A">
      <w:numFmt w:val="bullet"/>
      <w:lvlText w:val="•"/>
      <w:lvlJc w:val="left"/>
      <w:pPr>
        <w:ind w:left="7757" w:hanging="360"/>
      </w:pPr>
      <w:rPr>
        <w:lang w:val="en-ZA" w:eastAsia="en-ZA" w:bidi="en-ZA"/>
      </w:rPr>
    </w:lvl>
    <w:lvl w:ilvl="8" w:tplc="6FC657BA">
      <w:numFmt w:val="bullet"/>
      <w:lvlText w:val="•"/>
      <w:lvlJc w:val="left"/>
      <w:pPr>
        <w:ind w:left="8904" w:hanging="360"/>
      </w:pPr>
      <w:rPr>
        <w:lang w:val="en-ZA" w:eastAsia="en-ZA" w:bidi="en-ZA"/>
      </w:rPr>
    </w:lvl>
  </w:abstractNum>
  <w:abstractNum w:abstractNumId="13" w15:restartNumberingAfterBreak="0">
    <w:nsid w:val="43333F21"/>
    <w:multiLevelType w:val="hybridMultilevel"/>
    <w:tmpl w:val="1F52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07D2CB"/>
    <w:multiLevelType w:val="hybridMultilevel"/>
    <w:tmpl w:val="5095A13E"/>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5B486FF"/>
    <w:multiLevelType w:val="hybridMultilevel"/>
    <w:tmpl w:val="FF06404B"/>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B5B6E8B"/>
    <w:multiLevelType w:val="hybridMultilevel"/>
    <w:tmpl w:val="3404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EA2A19"/>
    <w:multiLevelType w:val="hybridMultilevel"/>
    <w:tmpl w:val="C6820C63"/>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1587D20"/>
    <w:multiLevelType w:val="hybridMultilevel"/>
    <w:tmpl w:val="2EEA25AE"/>
    <w:lvl w:ilvl="0" w:tplc="D222E3E2">
      <w:numFmt w:val="bullet"/>
      <w:lvlText w:val=""/>
      <w:lvlJc w:val="left"/>
      <w:pPr>
        <w:ind w:left="945" w:hanging="360"/>
      </w:pPr>
      <w:rPr>
        <w:rFonts w:ascii="Symbol" w:eastAsia="Symbol" w:hAnsi="Symbol" w:cs="Symbol" w:hint="default"/>
        <w:w w:val="100"/>
        <w:sz w:val="22"/>
        <w:szCs w:val="22"/>
        <w:lang w:val="en-ZA" w:eastAsia="en-ZA" w:bidi="en-ZA"/>
      </w:rPr>
    </w:lvl>
    <w:lvl w:ilvl="1" w:tplc="D67A974E">
      <w:numFmt w:val="bullet"/>
      <w:lvlText w:val="o"/>
      <w:lvlJc w:val="left"/>
      <w:pPr>
        <w:ind w:left="1672" w:hanging="360"/>
      </w:pPr>
      <w:rPr>
        <w:rFonts w:ascii="Courier New" w:eastAsia="Courier New" w:hAnsi="Courier New" w:cs="Courier New" w:hint="default"/>
        <w:w w:val="100"/>
        <w:sz w:val="22"/>
        <w:szCs w:val="22"/>
        <w:lang w:val="en-ZA" w:eastAsia="en-ZA" w:bidi="en-ZA"/>
      </w:rPr>
    </w:lvl>
    <w:lvl w:ilvl="2" w:tplc="0C800742">
      <w:numFmt w:val="bullet"/>
      <w:lvlText w:val=""/>
      <w:lvlJc w:val="left"/>
      <w:pPr>
        <w:ind w:left="2445" w:hanging="360"/>
      </w:pPr>
      <w:rPr>
        <w:rFonts w:ascii="Symbol" w:eastAsia="Symbol" w:hAnsi="Symbol" w:cs="Symbol" w:hint="default"/>
        <w:w w:val="100"/>
        <w:sz w:val="22"/>
        <w:szCs w:val="22"/>
        <w:lang w:val="en-ZA" w:eastAsia="en-ZA" w:bidi="en-ZA"/>
      </w:rPr>
    </w:lvl>
    <w:lvl w:ilvl="3" w:tplc="D7BCD932">
      <w:numFmt w:val="bullet"/>
      <w:lvlText w:val="•"/>
      <w:lvlJc w:val="left"/>
      <w:pPr>
        <w:ind w:left="1720" w:hanging="360"/>
      </w:pPr>
      <w:rPr>
        <w:rFonts w:hint="default"/>
        <w:lang w:val="en-ZA" w:eastAsia="en-ZA" w:bidi="en-ZA"/>
      </w:rPr>
    </w:lvl>
    <w:lvl w:ilvl="4" w:tplc="D1B215D8">
      <w:numFmt w:val="bullet"/>
      <w:lvlText w:val="•"/>
      <w:lvlJc w:val="left"/>
      <w:pPr>
        <w:ind w:left="2040" w:hanging="360"/>
      </w:pPr>
      <w:rPr>
        <w:rFonts w:hint="default"/>
        <w:lang w:val="en-ZA" w:eastAsia="en-ZA" w:bidi="en-ZA"/>
      </w:rPr>
    </w:lvl>
    <w:lvl w:ilvl="5" w:tplc="758E4B0E">
      <w:numFmt w:val="bullet"/>
      <w:lvlText w:val="•"/>
      <w:lvlJc w:val="left"/>
      <w:pPr>
        <w:ind w:left="2440" w:hanging="360"/>
      </w:pPr>
      <w:rPr>
        <w:rFonts w:hint="default"/>
        <w:lang w:val="en-ZA" w:eastAsia="en-ZA" w:bidi="en-ZA"/>
      </w:rPr>
    </w:lvl>
    <w:lvl w:ilvl="6" w:tplc="BD9CC18E">
      <w:numFmt w:val="bullet"/>
      <w:lvlText w:val="•"/>
      <w:lvlJc w:val="left"/>
      <w:pPr>
        <w:ind w:left="4191" w:hanging="360"/>
      </w:pPr>
      <w:rPr>
        <w:rFonts w:hint="default"/>
        <w:lang w:val="en-ZA" w:eastAsia="en-ZA" w:bidi="en-ZA"/>
      </w:rPr>
    </w:lvl>
    <w:lvl w:ilvl="7" w:tplc="FCA03CC2">
      <w:numFmt w:val="bullet"/>
      <w:lvlText w:val="•"/>
      <w:lvlJc w:val="left"/>
      <w:pPr>
        <w:ind w:left="5943" w:hanging="360"/>
      </w:pPr>
      <w:rPr>
        <w:rFonts w:hint="default"/>
        <w:lang w:val="en-ZA" w:eastAsia="en-ZA" w:bidi="en-ZA"/>
      </w:rPr>
    </w:lvl>
    <w:lvl w:ilvl="8" w:tplc="4F9686F0">
      <w:numFmt w:val="bullet"/>
      <w:lvlText w:val="•"/>
      <w:lvlJc w:val="left"/>
      <w:pPr>
        <w:ind w:left="7695" w:hanging="360"/>
      </w:pPr>
      <w:rPr>
        <w:rFonts w:hint="default"/>
        <w:lang w:val="en-ZA" w:eastAsia="en-ZA" w:bidi="en-ZA"/>
      </w:rPr>
    </w:lvl>
  </w:abstractNum>
  <w:abstractNum w:abstractNumId="19" w15:restartNumberingAfterBreak="0">
    <w:nsid w:val="72CC509F"/>
    <w:multiLevelType w:val="hybridMultilevel"/>
    <w:tmpl w:val="413AC394"/>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33040D4"/>
    <w:multiLevelType w:val="hybridMultilevel"/>
    <w:tmpl w:val="3E32AA0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3C65240"/>
    <w:multiLevelType w:val="hybridMultilevel"/>
    <w:tmpl w:val="3754F6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7C176224"/>
    <w:multiLevelType w:val="hybridMultilevel"/>
    <w:tmpl w:val="AF62E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8"/>
  </w:num>
  <w:num w:numId="3">
    <w:abstractNumId w:val="21"/>
  </w:num>
  <w:num w:numId="4">
    <w:abstractNumId w:val="9"/>
  </w:num>
  <w:num w:numId="5">
    <w:abstractNumId w:val="12"/>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14"/>
  </w:num>
  <w:num w:numId="8">
    <w:abstractNumId w:val="17"/>
  </w:num>
  <w:num w:numId="9">
    <w:abstractNumId w:val="19"/>
  </w:num>
  <w:num w:numId="10">
    <w:abstractNumId w:val="7"/>
  </w:num>
  <w:num w:numId="11">
    <w:abstractNumId w:val="0"/>
  </w:num>
  <w:num w:numId="12">
    <w:abstractNumId w:val="20"/>
  </w:num>
  <w:num w:numId="13">
    <w:abstractNumId w:val="15"/>
  </w:num>
  <w:num w:numId="14">
    <w:abstractNumId w:val="22"/>
  </w:num>
  <w:num w:numId="15">
    <w:abstractNumId w:val="1"/>
  </w:num>
  <w:num w:numId="16">
    <w:abstractNumId w:val="4"/>
  </w:num>
  <w:num w:numId="17">
    <w:abstractNumId w:val="6"/>
  </w:num>
  <w:num w:numId="18">
    <w:abstractNumId w:val="8"/>
  </w:num>
  <w:num w:numId="19">
    <w:abstractNumId w:val="3"/>
  </w:num>
  <w:num w:numId="20">
    <w:abstractNumId w:val="2"/>
  </w:num>
  <w:num w:numId="21">
    <w:abstractNumId w:val="5"/>
  </w:num>
  <w:num w:numId="22">
    <w:abstractNumId w:val="11"/>
  </w:num>
  <w:num w:numId="23">
    <w:abstractNumId w:val="1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35B"/>
    <w:rsid w:val="00081858"/>
    <w:rsid w:val="000B2DD4"/>
    <w:rsid w:val="001203F6"/>
    <w:rsid w:val="001424A3"/>
    <w:rsid w:val="001560DF"/>
    <w:rsid w:val="00210F56"/>
    <w:rsid w:val="00231785"/>
    <w:rsid w:val="00256F19"/>
    <w:rsid w:val="0029719B"/>
    <w:rsid w:val="002D30C0"/>
    <w:rsid w:val="003D1A00"/>
    <w:rsid w:val="00432C0D"/>
    <w:rsid w:val="00444E0F"/>
    <w:rsid w:val="0046103F"/>
    <w:rsid w:val="004B7422"/>
    <w:rsid w:val="004C5CFF"/>
    <w:rsid w:val="005F316C"/>
    <w:rsid w:val="006923BE"/>
    <w:rsid w:val="006B68CB"/>
    <w:rsid w:val="006C3700"/>
    <w:rsid w:val="0071050C"/>
    <w:rsid w:val="00713DBE"/>
    <w:rsid w:val="0075666D"/>
    <w:rsid w:val="007849F2"/>
    <w:rsid w:val="00821149"/>
    <w:rsid w:val="00896C27"/>
    <w:rsid w:val="008B7C7F"/>
    <w:rsid w:val="0091135B"/>
    <w:rsid w:val="0095246F"/>
    <w:rsid w:val="0099127B"/>
    <w:rsid w:val="009A767C"/>
    <w:rsid w:val="00A35113"/>
    <w:rsid w:val="00A41B2A"/>
    <w:rsid w:val="00A67160"/>
    <w:rsid w:val="00A93FF9"/>
    <w:rsid w:val="00A94E94"/>
    <w:rsid w:val="00AA4FB2"/>
    <w:rsid w:val="00AA760B"/>
    <w:rsid w:val="00AD4EBC"/>
    <w:rsid w:val="00BC2A85"/>
    <w:rsid w:val="00C57B31"/>
    <w:rsid w:val="00CA30B3"/>
    <w:rsid w:val="00CF490A"/>
    <w:rsid w:val="00D051B0"/>
    <w:rsid w:val="00DC4822"/>
    <w:rsid w:val="00E52089"/>
    <w:rsid w:val="00E87A5D"/>
    <w:rsid w:val="00EA632B"/>
    <w:rsid w:val="00F11B16"/>
    <w:rsid w:val="00F27095"/>
    <w:rsid w:val="00F66C20"/>
    <w:rsid w:val="00FA61D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4DA68"/>
  <w15:docId w15:val="{14B8E46A-44D8-4EEF-BBCF-AEA9334C1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81858"/>
    <w:pPr>
      <w:widowControl w:val="0"/>
      <w:autoSpaceDE w:val="0"/>
      <w:autoSpaceDN w:val="0"/>
      <w:spacing w:after="0" w:line="240" w:lineRule="auto"/>
    </w:pPr>
    <w:rPr>
      <w:rFonts w:ascii="Calibri" w:eastAsia="Calibri" w:hAnsi="Calibri" w:cs="Calibri"/>
      <w:lang w:eastAsia="en-ZA" w:bidi="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1135B"/>
  </w:style>
  <w:style w:type="character" w:customStyle="1" w:styleId="BodyTextChar">
    <w:name w:val="Body Text Char"/>
    <w:basedOn w:val="DefaultParagraphFont"/>
    <w:link w:val="BodyText"/>
    <w:uiPriority w:val="1"/>
    <w:rsid w:val="0091135B"/>
    <w:rPr>
      <w:rFonts w:ascii="Calibri" w:eastAsia="Calibri" w:hAnsi="Calibri" w:cs="Calibri"/>
      <w:lang w:eastAsia="en-ZA" w:bidi="en-ZA"/>
    </w:rPr>
  </w:style>
  <w:style w:type="table" w:styleId="TableGrid">
    <w:name w:val="Table Grid"/>
    <w:basedOn w:val="TableNormal"/>
    <w:uiPriority w:val="39"/>
    <w:rsid w:val="00911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135B"/>
    <w:pPr>
      <w:tabs>
        <w:tab w:val="center" w:pos="4513"/>
        <w:tab w:val="right" w:pos="9026"/>
      </w:tabs>
    </w:pPr>
  </w:style>
  <w:style w:type="character" w:customStyle="1" w:styleId="HeaderChar">
    <w:name w:val="Header Char"/>
    <w:basedOn w:val="DefaultParagraphFont"/>
    <w:link w:val="Header"/>
    <w:uiPriority w:val="99"/>
    <w:rsid w:val="0091135B"/>
    <w:rPr>
      <w:rFonts w:ascii="Calibri" w:eastAsia="Calibri" w:hAnsi="Calibri" w:cs="Calibri"/>
      <w:lang w:eastAsia="en-ZA" w:bidi="en-ZA"/>
    </w:rPr>
  </w:style>
  <w:style w:type="paragraph" w:styleId="Footer">
    <w:name w:val="footer"/>
    <w:basedOn w:val="Normal"/>
    <w:link w:val="FooterChar"/>
    <w:uiPriority w:val="99"/>
    <w:unhideWhenUsed/>
    <w:rsid w:val="0091135B"/>
    <w:pPr>
      <w:tabs>
        <w:tab w:val="center" w:pos="4513"/>
        <w:tab w:val="right" w:pos="9026"/>
      </w:tabs>
    </w:pPr>
  </w:style>
  <w:style w:type="character" w:customStyle="1" w:styleId="FooterChar">
    <w:name w:val="Footer Char"/>
    <w:basedOn w:val="DefaultParagraphFont"/>
    <w:link w:val="Footer"/>
    <w:uiPriority w:val="99"/>
    <w:rsid w:val="0091135B"/>
    <w:rPr>
      <w:rFonts w:ascii="Calibri" w:eastAsia="Calibri" w:hAnsi="Calibri" w:cs="Calibri"/>
      <w:lang w:eastAsia="en-ZA" w:bidi="en-ZA"/>
    </w:rPr>
  </w:style>
  <w:style w:type="paragraph" w:styleId="ListParagraph">
    <w:name w:val="List Paragraph"/>
    <w:basedOn w:val="Normal"/>
    <w:uiPriority w:val="1"/>
    <w:qFormat/>
    <w:rsid w:val="00210F56"/>
    <w:pPr>
      <w:ind w:left="952" w:hanging="360"/>
    </w:pPr>
  </w:style>
  <w:style w:type="paragraph" w:customStyle="1" w:styleId="TableParagraph">
    <w:name w:val="Table Paragraph"/>
    <w:basedOn w:val="Normal"/>
    <w:uiPriority w:val="1"/>
    <w:qFormat/>
    <w:rsid w:val="001424A3"/>
    <w:pPr>
      <w:spacing w:line="248" w:lineRule="exact"/>
      <w:ind w:left="107"/>
    </w:pPr>
  </w:style>
  <w:style w:type="paragraph" w:styleId="BalloonText">
    <w:name w:val="Balloon Text"/>
    <w:basedOn w:val="Normal"/>
    <w:link w:val="BalloonTextChar"/>
    <w:uiPriority w:val="99"/>
    <w:semiHidden/>
    <w:unhideWhenUsed/>
    <w:rsid w:val="00DC4822"/>
    <w:rPr>
      <w:rFonts w:ascii="Tahoma" w:hAnsi="Tahoma" w:cs="Tahoma"/>
      <w:sz w:val="16"/>
      <w:szCs w:val="16"/>
    </w:rPr>
  </w:style>
  <w:style w:type="character" w:customStyle="1" w:styleId="BalloonTextChar">
    <w:name w:val="Balloon Text Char"/>
    <w:basedOn w:val="DefaultParagraphFont"/>
    <w:link w:val="BalloonText"/>
    <w:uiPriority w:val="99"/>
    <w:semiHidden/>
    <w:rsid w:val="00DC4822"/>
    <w:rPr>
      <w:rFonts w:ascii="Tahoma" w:eastAsia="Calibri" w:hAnsi="Tahoma" w:cs="Tahoma"/>
      <w:sz w:val="16"/>
      <w:szCs w:val="16"/>
      <w:lang w:eastAsia="en-ZA" w:bidi="en-ZA"/>
    </w:rPr>
  </w:style>
  <w:style w:type="table" w:customStyle="1" w:styleId="TableGrid0">
    <w:name w:val="TableGrid"/>
    <w:rsid w:val="00F27095"/>
    <w:pPr>
      <w:spacing w:after="0" w:line="240" w:lineRule="auto"/>
    </w:pPr>
    <w:rPr>
      <w:rFonts w:eastAsiaTheme="minorEastAsia"/>
      <w:lang w:val="nb-NO" w:eastAsia="nb-NO"/>
    </w:rPr>
    <w:tblPr>
      <w:tblCellMar>
        <w:top w:w="0" w:type="dxa"/>
        <w:left w:w="0" w:type="dxa"/>
        <w:bottom w:w="0" w:type="dxa"/>
        <w:right w:w="0" w:type="dxa"/>
      </w:tblCellMar>
    </w:tblPr>
  </w:style>
  <w:style w:type="paragraph" w:customStyle="1" w:styleId="Default">
    <w:name w:val="Default"/>
    <w:rsid w:val="004B7422"/>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00387">
      <w:bodyDiv w:val="1"/>
      <w:marLeft w:val="0"/>
      <w:marRight w:val="0"/>
      <w:marTop w:val="0"/>
      <w:marBottom w:val="0"/>
      <w:divBdr>
        <w:top w:val="none" w:sz="0" w:space="0" w:color="auto"/>
        <w:left w:val="none" w:sz="0" w:space="0" w:color="auto"/>
        <w:bottom w:val="none" w:sz="0" w:space="0" w:color="auto"/>
        <w:right w:val="none" w:sz="0" w:space="0" w:color="auto"/>
      </w:divBdr>
    </w:div>
    <w:div w:id="84231821">
      <w:bodyDiv w:val="1"/>
      <w:marLeft w:val="0"/>
      <w:marRight w:val="0"/>
      <w:marTop w:val="0"/>
      <w:marBottom w:val="0"/>
      <w:divBdr>
        <w:top w:val="none" w:sz="0" w:space="0" w:color="auto"/>
        <w:left w:val="none" w:sz="0" w:space="0" w:color="auto"/>
        <w:bottom w:val="none" w:sz="0" w:space="0" w:color="auto"/>
        <w:right w:val="none" w:sz="0" w:space="0" w:color="auto"/>
      </w:divBdr>
    </w:div>
    <w:div w:id="87969114">
      <w:bodyDiv w:val="1"/>
      <w:marLeft w:val="0"/>
      <w:marRight w:val="0"/>
      <w:marTop w:val="0"/>
      <w:marBottom w:val="0"/>
      <w:divBdr>
        <w:top w:val="none" w:sz="0" w:space="0" w:color="auto"/>
        <w:left w:val="none" w:sz="0" w:space="0" w:color="auto"/>
        <w:bottom w:val="none" w:sz="0" w:space="0" w:color="auto"/>
        <w:right w:val="none" w:sz="0" w:space="0" w:color="auto"/>
      </w:divBdr>
    </w:div>
    <w:div w:id="136607918">
      <w:bodyDiv w:val="1"/>
      <w:marLeft w:val="0"/>
      <w:marRight w:val="0"/>
      <w:marTop w:val="0"/>
      <w:marBottom w:val="0"/>
      <w:divBdr>
        <w:top w:val="none" w:sz="0" w:space="0" w:color="auto"/>
        <w:left w:val="none" w:sz="0" w:space="0" w:color="auto"/>
        <w:bottom w:val="none" w:sz="0" w:space="0" w:color="auto"/>
        <w:right w:val="none" w:sz="0" w:space="0" w:color="auto"/>
      </w:divBdr>
    </w:div>
    <w:div w:id="175198397">
      <w:bodyDiv w:val="1"/>
      <w:marLeft w:val="0"/>
      <w:marRight w:val="0"/>
      <w:marTop w:val="0"/>
      <w:marBottom w:val="0"/>
      <w:divBdr>
        <w:top w:val="none" w:sz="0" w:space="0" w:color="auto"/>
        <w:left w:val="none" w:sz="0" w:space="0" w:color="auto"/>
        <w:bottom w:val="none" w:sz="0" w:space="0" w:color="auto"/>
        <w:right w:val="none" w:sz="0" w:space="0" w:color="auto"/>
      </w:divBdr>
    </w:div>
    <w:div w:id="200241914">
      <w:bodyDiv w:val="1"/>
      <w:marLeft w:val="0"/>
      <w:marRight w:val="0"/>
      <w:marTop w:val="0"/>
      <w:marBottom w:val="0"/>
      <w:divBdr>
        <w:top w:val="none" w:sz="0" w:space="0" w:color="auto"/>
        <w:left w:val="none" w:sz="0" w:space="0" w:color="auto"/>
        <w:bottom w:val="none" w:sz="0" w:space="0" w:color="auto"/>
        <w:right w:val="none" w:sz="0" w:space="0" w:color="auto"/>
      </w:divBdr>
    </w:div>
    <w:div w:id="203055418">
      <w:bodyDiv w:val="1"/>
      <w:marLeft w:val="0"/>
      <w:marRight w:val="0"/>
      <w:marTop w:val="0"/>
      <w:marBottom w:val="0"/>
      <w:divBdr>
        <w:top w:val="none" w:sz="0" w:space="0" w:color="auto"/>
        <w:left w:val="none" w:sz="0" w:space="0" w:color="auto"/>
        <w:bottom w:val="none" w:sz="0" w:space="0" w:color="auto"/>
        <w:right w:val="none" w:sz="0" w:space="0" w:color="auto"/>
      </w:divBdr>
    </w:div>
    <w:div w:id="227427467">
      <w:bodyDiv w:val="1"/>
      <w:marLeft w:val="0"/>
      <w:marRight w:val="0"/>
      <w:marTop w:val="0"/>
      <w:marBottom w:val="0"/>
      <w:divBdr>
        <w:top w:val="none" w:sz="0" w:space="0" w:color="auto"/>
        <w:left w:val="none" w:sz="0" w:space="0" w:color="auto"/>
        <w:bottom w:val="none" w:sz="0" w:space="0" w:color="auto"/>
        <w:right w:val="none" w:sz="0" w:space="0" w:color="auto"/>
      </w:divBdr>
    </w:div>
    <w:div w:id="290596519">
      <w:bodyDiv w:val="1"/>
      <w:marLeft w:val="0"/>
      <w:marRight w:val="0"/>
      <w:marTop w:val="0"/>
      <w:marBottom w:val="0"/>
      <w:divBdr>
        <w:top w:val="none" w:sz="0" w:space="0" w:color="auto"/>
        <w:left w:val="none" w:sz="0" w:space="0" w:color="auto"/>
        <w:bottom w:val="none" w:sz="0" w:space="0" w:color="auto"/>
        <w:right w:val="none" w:sz="0" w:space="0" w:color="auto"/>
      </w:divBdr>
    </w:div>
    <w:div w:id="290866979">
      <w:bodyDiv w:val="1"/>
      <w:marLeft w:val="0"/>
      <w:marRight w:val="0"/>
      <w:marTop w:val="0"/>
      <w:marBottom w:val="0"/>
      <w:divBdr>
        <w:top w:val="none" w:sz="0" w:space="0" w:color="auto"/>
        <w:left w:val="none" w:sz="0" w:space="0" w:color="auto"/>
        <w:bottom w:val="none" w:sz="0" w:space="0" w:color="auto"/>
        <w:right w:val="none" w:sz="0" w:space="0" w:color="auto"/>
      </w:divBdr>
    </w:div>
    <w:div w:id="367073468">
      <w:bodyDiv w:val="1"/>
      <w:marLeft w:val="0"/>
      <w:marRight w:val="0"/>
      <w:marTop w:val="0"/>
      <w:marBottom w:val="0"/>
      <w:divBdr>
        <w:top w:val="none" w:sz="0" w:space="0" w:color="auto"/>
        <w:left w:val="none" w:sz="0" w:space="0" w:color="auto"/>
        <w:bottom w:val="none" w:sz="0" w:space="0" w:color="auto"/>
        <w:right w:val="none" w:sz="0" w:space="0" w:color="auto"/>
      </w:divBdr>
    </w:div>
    <w:div w:id="394861784">
      <w:bodyDiv w:val="1"/>
      <w:marLeft w:val="0"/>
      <w:marRight w:val="0"/>
      <w:marTop w:val="0"/>
      <w:marBottom w:val="0"/>
      <w:divBdr>
        <w:top w:val="none" w:sz="0" w:space="0" w:color="auto"/>
        <w:left w:val="none" w:sz="0" w:space="0" w:color="auto"/>
        <w:bottom w:val="none" w:sz="0" w:space="0" w:color="auto"/>
        <w:right w:val="none" w:sz="0" w:space="0" w:color="auto"/>
      </w:divBdr>
    </w:div>
    <w:div w:id="421754638">
      <w:bodyDiv w:val="1"/>
      <w:marLeft w:val="0"/>
      <w:marRight w:val="0"/>
      <w:marTop w:val="0"/>
      <w:marBottom w:val="0"/>
      <w:divBdr>
        <w:top w:val="none" w:sz="0" w:space="0" w:color="auto"/>
        <w:left w:val="none" w:sz="0" w:space="0" w:color="auto"/>
        <w:bottom w:val="none" w:sz="0" w:space="0" w:color="auto"/>
        <w:right w:val="none" w:sz="0" w:space="0" w:color="auto"/>
      </w:divBdr>
    </w:div>
    <w:div w:id="496963238">
      <w:bodyDiv w:val="1"/>
      <w:marLeft w:val="0"/>
      <w:marRight w:val="0"/>
      <w:marTop w:val="0"/>
      <w:marBottom w:val="0"/>
      <w:divBdr>
        <w:top w:val="none" w:sz="0" w:space="0" w:color="auto"/>
        <w:left w:val="none" w:sz="0" w:space="0" w:color="auto"/>
        <w:bottom w:val="none" w:sz="0" w:space="0" w:color="auto"/>
        <w:right w:val="none" w:sz="0" w:space="0" w:color="auto"/>
      </w:divBdr>
    </w:div>
    <w:div w:id="497963964">
      <w:bodyDiv w:val="1"/>
      <w:marLeft w:val="0"/>
      <w:marRight w:val="0"/>
      <w:marTop w:val="0"/>
      <w:marBottom w:val="0"/>
      <w:divBdr>
        <w:top w:val="none" w:sz="0" w:space="0" w:color="auto"/>
        <w:left w:val="none" w:sz="0" w:space="0" w:color="auto"/>
        <w:bottom w:val="none" w:sz="0" w:space="0" w:color="auto"/>
        <w:right w:val="none" w:sz="0" w:space="0" w:color="auto"/>
      </w:divBdr>
    </w:div>
    <w:div w:id="539443785">
      <w:bodyDiv w:val="1"/>
      <w:marLeft w:val="0"/>
      <w:marRight w:val="0"/>
      <w:marTop w:val="0"/>
      <w:marBottom w:val="0"/>
      <w:divBdr>
        <w:top w:val="none" w:sz="0" w:space="0" w:color="auto"/>
        <w:left w:val="none" w:sz="0" w:space="0" w:color="auto"/>
        <w:bottom w:val="none" w:sz="0" w:space="0" w:color="auto"/>
        <w:right w:val="none" w:sz="0" w:space="0" w:color="auto"/>
      </w:divBdr>
    </w:div>
    <w:div w:id="576206666">
      <w:bodyDiv w:val="1"/>
      <w:marLeft w:val="0"/>
      <w:marRight w:val="0"/>
      <w:marTop w:val="0"/>
      <w:marBottom w:val="0"/>
      <w:divBdr>
        <w:top w:val="none" w:sz="0" w:space="0" w:color="auto"/>
        <w:left w:val="none" w:sz="0" w:space="0" w:color="auto"/>
        <w:bottom w:val="none" w:sz="0" w:space="0" w:color="auto"/>
        <w:right w:val="none" w:sz="0" w:space="0" w:color="auto"/>
      </w:divBdr>
    </w:div>
    <w:div w:id="597759466">
      <w:bodyDiv w:val="1"/>
      <w:marLeft w:val="0"/>
      <w:marRight w:val="0"/>
      <w:marTop w:val="0"/>
      <w:marBottom w:val="0"/>
      <w:divBdr>
        <w:top w:val="none" w:sz="0" w:space="0" w:color="auto"/>
        <w:left w:val="none" w:sz="0" w:space="0" w:color="auto"/>
        <w:bottom w:val="none" w:sz="0" w:space="0" w:color="auto"/>
        <w:right w:val="none" w:sz="0" w:space="0" w:color="auto"/>
      </w:divBdr>
    </w:div>
    <w:div w:id="619337429">
      <w:bodyDiv w:val="1"/>
      <w:marLeft w:val="0"/>
      <w:marRight w:val="0"/>
      <w:marTop w:val="0"/>
      <w:marBottom w:val="0"/>
      <w:divBdr>
        <w:top w:val="none" w:sz="0" w:space="0" w:color="auto"/>
        <w:left w:val="none" w:sz="0" w:space="0" w:color="auto"/>
        <w:bottom w:val="none" w:sz="0" w:space="0" w:color="auto"/>
        <w:right w:val="none" w:sz="0" w:space="0" w:color="auto"/>
      </w:divBdr>
    </w:div>
    <w:div w:id="712073931">
      <w:bodyDiv w:val="1"/>
      <w:marLeft w:val="0"/>
      <w:marRight w:val="0"/>
      <w:marTop w:val="0"/>
      <w:marBottom w:val="0"/>
      <w:divBdr>
        <w:top w:val="none" w:sz="0" w:space="0" w:color="auto"/>
        <w:left w:val="none" w:sz="0" w:space="0" w:color="auto"/>
        <w:bottom w:val="none" w:sz="0" w:space="0" w:color="auto"/>
        <w:right w:val="none" w:sz="0" w:space="0" w:color="auto"/>
      </w:divBdr>
    </w:div>
    <w:div w:id="719520767">
      <w:bodyDiv w:val="1"/>
      <w:marLeft w:val="0"/>
      <w:marRight w:val="0"/>
      <w:marTop w:val="0"/>
      <w:marBottom w:val="0"/>
      <w:divBdr>
        <w:top w:val="none" w:sz="0" w:space="0" w:color="auto"/>
        <w:left w:val="none" w:sz="0" w:space="0" w:color="auto"/>
        <w:bottom w:val="none" w:sz="0" w:space="0" w:color="auto"/>
        <w:right w:val="none" w:sz="0" w:space="0" w:color="auto"/>
      </w:divBdr>
    </w:div>
    <w:div w:id="800608206">
      <w:bodyDiv w:val="1"/>
      <w:marLeft w:val="0"/>
      <w:marRight w:val="0"/>
      <w:marTop w:val="0"/>
      <w:marBottom w:val="0"/>
      <w:divBdr>
        <w:top w:val="none" w:sz="0" w:space="0" w:color="auto"/>
        <w:left w:val="none" w:sz="0" w:space="0" w:color="auto"/>
        <w:bottom w:val="none" w:sz="0" w:space="0" w:color="auto"/>
        <w:right w:val="none" w:sz="0" w:space="0" w:color="auto"/>
      </w:divBdr>
    </w:div>
    <w:div w:id="809204571">
      <w:bodyDiv w:val="1"/>
      <w:marLeft w:val="0"/>
      <w:marRight w:val="0"/>
      <w:marTop w:val="0"/>
      <w:marBottom w:val="0"/>
      <w:divBdr>
        <w:top w:val="none" w:sz="0" w:space="0" w:color="auto"/>
        <w:left w:val="none" w:sz="0" w:space="0" w:color="auto"/>
        <w:bottom w:val="none" w:sz="0" w:space="0" w:color="auto"/>
        <w:right w:val="none" w:sz="0" w:space="0" w:color="auto"/>
      </w:divBdr>
    </w:div>
    <w:div w:id="813914317">
      <w:bodyDiv w:val="1"/>
      <w:marLeft w:val="0"/>
      <w:marRight w:val="0"/>
      <w:marTop w:val="0"/>
      <w:marBottom w:val="0"/>
      <w:divBdr>
        <w:top w:val="none" w:sz="0" w:space="0" w:color="auto"/>
        <w:left w:val="none" w:sz="0" w:space="0" w:color="auto"/>
        <w:bottom w:val="none" w:sz="0" w:space="0" w:color="auto"/>
        <w:right w:val="none" w:sz="0" w:space="0" w:color="auto"/>
      </w:divBdr>
    </w:div>
    <w:div w:id="840314438">
      <w:bodyDiv w:val="1"/>
      <w:marLeft w:val="0"/>
      <w:marRight w:val="0"/>
      <w:marTop w:val="0"/>
      <w:marBottom w:val="0"/>
      <w:divBdr>
        <w:top w:val="none" w:sz="0" w:space="0" w:color="auto"/>
        <w:left w:val="none" w:sz="0" w:space="0" w:color="auto"/>
        <w:bottom w:val="none" w:sz="0" w:space="0" w:color="auto"/>
        <w:right w:val="none" w:sz="0" w:space="0" w:color="auto"/>
      </w:divBdr>
    </w:div>
    <w:div w:id="843202571">
      <w:bodyDiv w:val="1"/>
      <w:marLeft w:val="0"/>
      <w:marRight w:val="0"/>
      <w:marTop w:val="0"/>
      <w:marBottom w:val="0"/>
      <w:divBdr>
        <w:top w:val="none" w:sz="0" w:space="0" w:color="auto"/>
        <w:left w:val="none" w:sz="0" w:space="0" w:color="auto"/>
        <w:bottom w:val="none" w:sz="0" w:space="0" w:color="auto"/>
        <w:right w:val="none" w:sz="0" w:space="0" w:color="auto"/>
      </w:divBdr>
    </w:div>
    <w:div w:id="853155541">
      <w:bodyDiv w:val="1"/>
      <w:marLeft w:val="0"/>
      <w:marRight w:val="0"/>
      <w:marTop w:val="0"/>
      <w:marBottom w:val="0"/>
      <w:divBdr>
        <w:top w:val="none" w:sz="0" w:space="0" w:color="auto"/>
        <w:left w:val="none" w:sz="0" w:space="0" w:color="auto"/>
        <w:bottom w:val="none" w:sz="0" w:space="0" w:color="auto"/>
        <w:right w:val="none" w:sz="0" w:space="0" w:color="auto"/>
      </w:divBdr>
    </w:div>
    <w:div w:id="854421743">
      <w:bodyDiv w:val="1"/>
      <w:marLeft w:val="0"/>
      <w:marRight w:val="0"/>
      <w:marTop w:val="0"/>
      <w:marBottom w:val="0"/>
      <w:divBdr>
        <w:top w:val="none" w:sz="0" w:space="0" w:color="auto"/>
        <w:left w:val="none" w:sz="0" w:space="0" w:color="auto"/>
        <w:bottom w:val="none" w:sz="0" w:space="0" w:color="auto"/>
        <w:right w:val="none" w:sz="0" w:space="0" w:color="auto"/>
      </w:divBdr>
    </w:div>
    <w:div w:id="872813506">
      <w:bodyDiv w:val="1"/>
      <w:marLeft w:val="0"/>
      <w:marRight w:val="0"/>
      <w:marTop w:val="0"/>
      <w:marBottom w:val="0"/>
      <w:divBdr>
        <w:top w:val="none" w:sz="0" w:space="0" w:color="auto"/>
        <w:left w:val="none" w:sz="0" w:space="0" w:color="auto"/>
        <w:bottom w:val="none" w:sz="0" w:space="0" w:color="auto"/>
        <w:right w:val="none" w:sz="0" w:space="0" w:color="auto"/>
      </w:divBdr>
    </w:div>
    <w:div w:id="891617886">
      <w:bodyDiv w:val="1"/>
      <w:marLeft w:val="0"/>
      <w:marRight w:val="0"/>
      <w:marTop w:val="0"/>
      <w:marBottom w:val="0"/>
      <w:divBdr>
        <w:top w:val="none" w:sz="0" w:space="0" w:color="auto"/>
        <w:left w:val="none" w:sz="0" w:space="0" w:color="auto"/>
        <w:bottom w:val="none" w:sz="0" w:space="0" w:color="auto"/>
        <w:right w:val="none" w:sz="0" w:space="0" w:color="auto"/>
      </w:divBdr>
    </w:div>
    <w:div w:id="948046128">
      <w:bodyDiv w:val="1"/>
      <w:marLeft w:val="0"/>
      <w:marRight w:val="0"/>
      <w:marTop w:val="0"/>
      <w:marBottom w:val="0"/>
      <w:divBdr>
        <w:top w:val="none" w:sz="0" w:space="0" w:color="auto"/>
        <w:left w:val="none" w:sz="0" w:space="0" w:color="auto"/>
        <w:bottom w:val="none" w:sz="0" w:space="0" w:color="auto"/>
        <w:right w:val="none" w:sz="0" w:space="0" w:color="auto"/>
      </w:divBdr>
    </w:div>
    <w:div w:id="1006516653">
      <w:bodyDiv w:val="1"/>
      <w:marLeft w:val="0"/>
      <w:marRight w:val="0"/>
      <w:marTop w:val="0"/>
      <w:marBottom w:val="0"/>
      <w:divBdr>
        <w:top w:val="none" w:sz="0" w:space="0" w:color="auto"/>
        <w:left w:val="none" w:sz="0" w:space="0" w:color="auto"/>
        <w:bottom w:val="none" w:sz="0" w:space="0" w:color="auto"/>
        <w:right w:val="none" w:sz="0" w:space="0" w:color="auto"/>
      </w:divBdr>
    </w:div>
    <w:div w:id="1025249941">
      <w:bodyDiv w:val="1"/>
      <w:marLeft w:val="0"/>
      <w:marRight w:val="0"/>
      <w:marTop w:val="0"/>
      <w:marBottom w:val="0"/>
      <w:divBdr>
        <w:top w:val="none" w:sz="0" w:space="0" w:color="auto"/>
        <w:left w:val="none" w:sz="0" w:space="0" w:color="auto"/>
        <w:bottom w:val="none" w:sz="0" w:space="0" w:color="auto"/>
        <w:right w:val="none" w:sz="0" w:space="0" w:color="auto"/>
      </w:divBdr>
    </w:div>
    <w:div w:id="1053887016">
      <w:bodyDiv w:val="1"/>
      <w:marLeft w:val="0"/>
      <w:marRight w:val="0"/>
      <w:marTop w:val="0"/>
      <w:marBottom w:val="0"/>
      <w:divBdr>
        <w:top w:val="none" w:sz="0" w:space="0" w:color="auto"/>
        <w:left w:val="none" w:sz="0" w:space="0" w:color="auto"/>
        <w:bottom w:val="none" w:sz="0" w:space="0" w:color="auto"/>
        <w:right w:val="none" w:sz="0" w:space="0" w:color="auto"/>
      </w:divBdr>
    </w:div>
    <w:div w:id="1100834409">
      <w:bodyDiv w:val="1"/>
      <w:marLeft w:val="0"/>
      <w:marRight w:val="0"/>
      <w:marTop w:val="0"/>
      <w:marBottom w:val="0"/>
      <w:divBdr>
        <w:top w:val="none" w:sz="0" w:space="0" w:color="auto"/>
        <w:left w:val="none" w:sz="0" w:space="0" w:color="auto"/>
        <w:bottom w:val="none" w:sz="0" w:space="0" w:color="auto"/>
        <w:right w:val="none" w:sz="0" w:space="0" w:color="auto"/>
      </w:divBdr>
    </w:div>
    <w:div w:id="1128934750">
      <w:bodyDiv w:val="1"/>
      <w:marLeft w:val="0"/>
      <w:marRight w:val="0"/>
      <w:marTop w:val="0"/>
      <w:marBottom w:val="0"/>
      <w:divBdr>
        <w:top w:val="none" w:sz="0" w:space="0" w:color="auto"/>
        <w:left w:val="none" w:sz="0" w:space="0" w:color="auto"/>
        <w:bottom w:val="none" w:sz="0" w:space="0" w:color="auto"/>
        <w:right w:val="none" w:sz="0" w:space="0" w:color="auto"/>
      </w:divBdr>
    </w:div>
    <w:div w:id="1200780334">
      <w:bodyDiv w:val="1"/>
      <w:marLeft w:val="0"/>
      <w:marRight w:val="0"/>
      <w:marTop w:val="0"/>
      <w:marBottom w:val="0"/>
      <w:divBdr>
        <w:top w:val="none" w:sz="0" w:space="0" w:color="auto"/>
        <w:left w:val="none" w:sz="0" w:space="0" w:color="auto"/>
        <w:bottom w:val="none" w:sz="0" w:space="0" w:color="auto"/>
        <w:right w:val="none" w:sz="0" w:space="0" w:color="auto"/>
      </w:divBdr>
    </w:div>
    <w:div w:id="1214581388">
      <w:bodyDiv w:val="1"/>
      <w:marLeft w:val="0"/>
      <w:marRight w:val="0"/>
      <w:marTop w:val="0"/>
      <w:marBottom w:val="0"/>
      <w:divBdr>
        <w:top w:val="none" w:sz="0" w:space="0" w:color="auto"/>
        <w:left w:val="none" w:sz="0" w:space="0" w:color="auto"/>
        <w:bottom w:val="none" w:sz="0" w:space="0" w:color="auto"/>
        <w:right w:val="none" w:sz="0" w:space="0" w:color="auto"/>
      </w:divBdr>
    </w:div>
    <w:div w:id="1261908520">
      <w:bodyDiv w:val="1"/>
      <w:marLeft w:val="0"/>
      <w:marRight w:val="0"/>
      <w:marTop w:val="0"/>
      <w:marBottom w:val="0"/>
      <w:divBdr>
        <w:top w:val="none" w:sz="0" w:space="0" w:color="auto"/>
        <w:left w:val="none" w:sz="0" w:space="0" w:color="auto"/>
        <w:bottom w:val="none" w:sz="0" w:space="0" w:color="auto"/>
        <w:right w:val="none" w:sz="0" w:space="0" w:color="auto"/>
      </w:divBdr>
    </w:div>
    <w:div w:id="1270968369">
      <w:bodyDiv w:val="1"/>
      <w:marLeft w:val="0"/>
      <w:marRight w:val="0"/>
      <w:marTop w:val="0"/>
      <w:marBottom w:val="0"/>
      <w:divBdr>
        <w:top w:val="none" w:sz="0" w:space="0" w:color="auto"/>
        <w:left w:val="none" w:sz="0" w:space="0" w:color="auto"/>
        <w:bottom w:val="none" w:sz="0" w:space="0" w:color="auto"/>
        <w:right w:val="none" w:sz="0" w:space="0" w:color="auto"/>
      </w:divBdr>
    </w:div>
    <w:div w:id="1324625264">
      <w:bodyDiv w:val="1"/>
      <w:marLeft w:val="0"/>
      <w:marRight w:val="0"/>
      <w:marTop w:val="0"/>
      <w:marBottom w:val="0"/>
      <w:divBdr>
        <w:top w:val="none" w:sz="0" w:space="0" w:color="auto"/>
        <w:left w:val="none" w:sz="0" w:space="0" w:color="auto"/>
        <w:bottom w:val="none" w:sz="0" w:space="0" w:color="auto"/>
        <w:right w:val="none" w:sz="0" w:space="0" w:color="auto"/>
      </w:divBdr>
    </w:div>
    <w:div w:id="1330594590">
      <w:bodyDiv w:val="1"/>
      <w:marLeft w:val="0"/>
      <w:marRight w:val="0"/>
      <w:marTop w:val="0"/>
      <w:marBottom w:val="0"/>
      <w:divBdr>
        <w:top w:val="none" w:sz="0" w:space="0" w:color="auto"/>
        <w:left w:val="none" w:sz="0" w:space="0" w:color="auto"/>
        <w:bottom w:val="none" w:sz="0" w:space="0" w:color="auto"/>
        <w:right w:val="none" w:sz="0" w:space="0" w:color="auto"/>
      </w:divBdr>
    </w:div>
    <w:div w:id="1355881499">
      <w:bodyDiv w:val="1"/>
      <w:marLeft w:val="0"/>
      <w:marRight w:val="0"/>
      <w:marTop w:val="0"/>
      <w:marBottom w:val="0"/>
      <w:divBdr>
        <w:top w:val="none" w:sz="0" w:space="0" w:color="auto"/>
        <w:left w:val="none" w:sz="0" w:space="0" w:color="auto"/>
        <w:bottom w:val="none" w:sz="0" w:space="0" w:color="auto"/>
        <w:right w:val="none" w:sz="0" w:space="0" w:color="auto"/>
      </w:divBdr>
    </w:div>
    <w:div w:id="1379545367">
      <w:bodyDiv w:val="1"/>
      <w:marLeft w:val="0"/>
      <w:marRight w:val="0"/>
      <w:marTop w:val="0"/>
      <w:marBottom w:val="0"/>
      <w:divBdr>
        <w:top w:val="none" w:sz="0" w:space="0" w:color="auto"/>
        <w:left w:val="none" w:sz="0" w:space="0" w:color="auto"/>
        <w:bottom w:val="none" w:sz="0" w:space="0" w:color="auto"/>
        <w:right w:val="none" w:sz="0" w:space="0" w:color="auto"/>
      </w:divBdr>
    </w:div>
    <w:div w:id="1426347063">
      <w:bodyDiv w:val="1"/>
      <w:marLeft w:val="0"/>
      <w:marRight w:val="0"/>
      <w:marTop w:val="0"/>
      <w:marBottom w:val="0"/>
      <w:divBdr>
        <w:top w:val="none" w:sz="0" w:space="0" w:color="auto"/>
        <w:left w:val="none" w:sz="0" w:space="0" w:color="auto"/>
        <w:bottom w:val="none" w:sz="0" w:space="0" w:color="auto"/>
        <w:right w:val="none" w:sz="0" w:space="0" w:color="auto"/>
      </w:divBdr>
    </w:div>
    <w:div w:id="1437863816">
      <w:bodyDiv w:val="1"/>
      <w:marLeft w:val="0"/>
      <w:marRight w:val="0"/>
      <w:marTop w:val="0"/>
      <w:marBottom w:val="0"/>
      <w:divBdr>
        <w:top w:val="none" w:sz="0" w:space="0" w:color="auto"/>
        <w:left w:val="none" w:sz="0" w:space="0" w:color="auto"/>
        <w:bottom w:val="none" w:sz="0" w:space="0" w:color="auto"/>
        <w:right w:val="none" w:sz="0" w:space="0" w:color="auto"/>
      </w:divBdr>
    </w:div>
    <w:div w:id="1475752531">
      <w:bodyDiv w:val="1"/>
      <w:marLeft w:val="0"/>
      <w:marRight w:val="0"/>
      <w:marTop w:val="0"/>
      <w:marBottom w:val="0"/>
      <w:divBdr>
        <w:top w:val="none" w:sz="0" w:space="0" w:color="auto"/>
        <w:left w:val="none" w:sz="0" w:space="0" w:color="auto"/>
        <w:bottom w:val="none" w:sz="0" w:space="0" w:color="auto"/>
        <w:right w:val="none" w:sz="0" w:space="0" w:color="auto"/>
      </w:divBdr>
    </w:div>
    <w:div w:id="1487091982">
      <w:bodyDiv w:val="1"/>
      <w:marLeft w:val="0"/>
      <w:marRight w:val="0"/>
      <w:marTop w:val="0"/>
      <w:marBottom w:val="0"/>
      <w:divBdr>
        <w:top w:val="none" w:sz="0" w:space="0" w:color="auto"/>
        <w:left w:val="none" w:sz="0" w:space="0" w:color="auto"/>
        <w:bottom w:val="none" w:sz="0" w:space="0" w:color="auto"/>
        <w:right w:val="none" w:sz="0" w:space="0" w:color="auto"/>
      </w:divBdr>
    </w:div>
    <w:div w:id="1504201935">
      <w:bodyDiv w:val="1"/>
      <w:marLeft w:val="0"/>
      <w:marRight w:val="0"/>
      <w:marTop w:val="0"/>
      <w:marBottom w:val="0"/>
      <w:divBdr>
        <w:top w:val="none" w:sz="0" w:space="0" w:color="auto"/>
        <w:left w:val="none" w:sz="0" w:space="0" w:color="auto"/>
        <w:bottom w:val="none" w:sz="0" w:space="0" w:color="auto"/>
        <w:right w:val="none" w:sz="0" w:space="0" w:color="auto"/>
      </w:divBdr>
    </w:div>
    <w:div w:id="1598099323">
      <w:bodyDiv w:val="1"/>
      <w:marLeft w:val="0"/>
      <w:marRight w:val="0"/>
      <w:marTop w:val="0"/>
      <w:marBottom w:val="0"/>
      <w:divBdr>
        <w:top w:val="none" w:sz="0" w:space="0" w:color="auto"/>
        <w:left w:val="none" w:sz="0" w:space="0" w:color="auto"/>
        <w:bottom w:val="none" w:sz="0" w:space="0" w:color="auto"/>
        <w:right w:val="none" w:sz="0" w:space="0" w:color="auto"/>
      </w:divBdr>
    </w:div>
    <w:div w:id="1612712050">
      <w:bodyDiv w:val="1"/>
      <w:marLeft w:val="0"/>
      <w:marRight w:val="0"/>
      <w:marTop w:val="0"/>
      <w:marBottom w:val="0"/>
      <w:divBdr>
        <w:top w:val="none" w:sz="0" w:space="0" w:color="auto"/>
        <w:left w:val="none" w:sz="0" w:space="0" w:color="auto"/>
        <w:bottom w:val="none" w:sz="0" w:space="0" w:color="auto"/>
        <w:right w:val="none" w:sz="0" w:space="0" w:color="auto"/>
      </w:divBdr>
    </w:div>
    <w:div w:id="1724215492">
      <w:bodyDiv w:val="1"/>
      <w:marLeft w:val="0"/>
      <w:marRight w:val="0"/>
      <w:marTop w:val="0"/>
      <w:marBottom w:val="0"/>
      <w:divBdr>
        <w:top w:val="none" w:sz="0" w:space="0" w:color="auto"/>
        <w:left w:val="none" w:sz="0" w:space="0" w:color="auto"/>
        <w:bottom w:val="none" w:sz="0" w:space="0" w:color="auto"/>
        <w:right w:val="none" w:sz="0" w:space="0" w:color="auto"/>
      </w:divBdr>
    </w:div>
    <w:div w:id="1731609376">
      <w:bodyDiv w:val="1"/>
      <w:marLeft w:val="0"/>
      <w:marRight w:val="0"/>
      <w:marTop w:val="0"/>
      <w:marBottom w:val="0"/>
      <w:divBdr>
        <w:top w:val="none" w:sz="0" w:space="0" w:color="auto"/>
        <w:left w:val="none" w:sz="0" w:space="0" w:color="auto"/>
        <w:bottom w:val="none" w:sz="0" w:space="0" w:color="auto"/>
        <w:right w:val="none" w:sz="0" w:space="0" w:color="auto"/>
      </w:divBdr>
    </w:div>
    <w:div w:id="1776633540">
      <w:bodyDiv w:val="1"/>
      <w:marLeft w:val="0"/>
      <w:marRight w:val="0"/>
      <w:marTop w:val="0"/>
      <w:marBottom w:val="0"/>
      <w:divBdr>
        <w:top w:val="none" w:sz="0" w:space="0" w:color="auto"/>
        <w:left w:val="none" w:sz="0" w:space="0" w:color="auto"/>
        <w:bottom w:val="none" w:sz="0" w:space="0" w:color="auto"/>
        <w:right w:val="none" w:sz="0" w:space="0" w:color="auto"/>
      </w:divBdr>
    </w:div>
    <w:div w:id="1807115062">
      <w:bodyDiv w:val="1"/>
      <w:marLeft w:val="0"/>
      <w:marRight w:val="0"/>
      <w:marTop w:val="0"/>
      <w:marBottom w:val="0"/>
      <w:divBdr>
        <w:top w:val="none" w:sz="0" w:space="0" w:color="auto"/>
        <w:left w:val="none" w:sz="0" w:space="0" w:color="auto"/>
        <w:bottom w:val="none" w:sz="0" w:space="0" w:color="auto"/>
        <w:right w:val="none" w:sz="0" w:space="0" w:color="auto"/>
      </w:divBdr>
    </w:div>
    <w:div w:id="1823887329">
      <w:bodyDiv w:val="1"/>
      <w:marLeft w:val="0"/>
      <w:marRight w:val="0"/>
      <w:marTop w:val="0"/>
      <w:marBottom w:val="0"/>
      <w:divBdr>
        <w:top w:val="none" w:sz="0" w:space="0" w:color="auto"/>
        <w:left w:val="none" w:sz="0" w:space="0" w:color="auto"/>
        <w:bottom w:val="none" w:sz="0" w:space="0" w:color="auto"/>
        <w:right w:val="none" w:sz="0" w:space="0" w:color="auto"/>
      </w:divBdr>
    </w:div>
    <w:div w:id="1847282663">
      <w:bodyDiv w:val="1"/>
      <w:marLeft w:val="0"/>
      <w:marRight w:val="0"/>
      <w:marTop w:val="0"/>
      <w:marBottom w:val="0"/>
      <w:divBdr>
        <w:top w:val="none" w:sz="0" w:space="0" w:color="auto"/>
        <w:left w:val="none" w:sz="0" w:space="0" w:color="auto"/>
        <w:bottom w:val="none" w:sz="0" w:space="0" w:color="auto"/>
        <w:right w:val="none" w:sz="0" w:space="0" w:color="auto"/>
      </w:divBdr>
    </w:div>
    <w:div w:id="1871186095">
      <w:bodyDiv w:val="1"/>
      <w:marLeft w:val="0"/>
      <w:marRight w:val="0"/>
      <w:marTop w:val="0"/>
      <w:marBottom w:val="0"/>
      <w:divBdr>
        <w:top w:val="none" w:sz="0" w:space="0" w:color="auto"/>
        <w:left w:val="none" w:sz="0" w:space="0" w:color="auto"/>
        <w:bottom w:val="none" w:sz="0" w:space="0" w:color="auto"/>
        <w:right w:val="none" w:sz="0" w:space="0" w:color="auto"/>
      </w:divBdr>
    </w:div>
    <w:div w:id="1897934593">
      <w:bodyDiv w:val="1"/>
      <w:marLeft w:val="0"/>
      <w:marRight w:val="0"/>
      <w:marTop w:val="0"/>
      <w:marBottom w:val="0"/>
      <w:divBdr>
        <w:top w:val="none" w:sz="0" w:space="0" w:color="auto"/>
        <w:left w:val="none" w:sz="0" w:space="0" w:color="auto"/>
        <w:bottom w:val="none" w:sz="0" w:space="0" w:color="auto"/>
        <w:right w:val="none" w:sz="0" w:space="0" w:color="auto"/>
      </w:divBdr>
    </w:div>
    <w:div w:id="1910647735">
      <w:bodyDiv w:val="1"/>
      <w:marLeft w:val="0"/>
      <w:marRight w:val="0"/>
      <w:marTop w:val="0"/>
      <w:marBottom w:val="0"/>
      <w:divBdr>
        <w:top w:val="none" w:sz="0" w:space="0" w:color="auto"/>
        <w:left w:val="none" w:sz="0" w:space="0" w:color="auto"/>
        <w:bottom w:val="none" w:sz="0" w:space="0" w:color="auto"/>
        <w:right w:val="none" w:sz="0" w:space="0" w:color="auto"/>
      </w:divBdr>
    </w:div>
    <w:div w:id="1922327573">
      <w:bodyDiv w:val="1"/>
      <w:marLeft w:val="0"/>
      <w:marRight w:val="0"/>
      <w:marTop w:val="0"/>
      <w:marBottom w:val="0"/>
      <w:divBdr>
        <w:top w:val="none" w:sz="0" w:space="0" w:color="auto"/>
        <w:left w:val="none" w:sz="0" w:space="0" w:color="auto"/>
        <w:bottom w:val="none" w:sz="0" w:space="0" w:color="auto"/>
        <w:right w:val="none" w:sz="0" w:space="0" w:color="auto"/>
      </w:divBdr>
    </w:div>
    <w:div w:id="1936474822">
      <w:bodyDiv w:val="1"/>
      <w:marLeft w:val="0"/>
      <w:marRight w:val="0"/>
      <w:marTop w:val="0"/>
      <w:marBottom w:val="0"/>
      <w:divBdr>
        <w:top w:val="none" w:sz="0" w:space="0" w:color="auto"/>
        <w:left w:val="none" w:sz="0" w:space="0" w:color="auto"/>
        <w:bottom w:val="none" w:sz="0" w:space="0" w:color="auto"/>
        <w:right w:val="none" w:sz="0" w:space="0" w:color="auto"/>
      </w:divBdr>
    </w:div>
    <w:div w:id="2038041316">
      <w:bodyDiv w:val="1"/>
      <w:marLeft w:val="0"/>
      <w:marRight w:val="0"/>
      <w:marTop w:val="0"/>
      <w:marBottom w:val="0"/>
      <w:divBdr>
        <w:top w:val="none" w:sz="0" w:space="0" w:color="auto"/>
        <w:left w:val="none" w:sz="0" w:space="0" w:color="auto"/>
        <w:bottom w:val="none" w:sz="0" w:space="0" w:color="auto"/>
        <w:right w:val="none" w:sz="0" w:space="0" w:color="auto"/>
      </w:divBdr>
    </w:div>
    <w:div w:id="2090224605">
      <w:bodyDiv w:val="1"/>
      <w:marLeft w:val="0"/>
      <w:marRight w:val="0"/>
      <w:marTop w:val="0"/>
      <w:marBottom w:val="0"/>
      <w:divBdr>
        <w:top w:val="none" w:sz="0" w:space="0" w:color="auto"/>
        <w:left w:val="none" w:sz="0" w:space="0" w:color="auto"/>
        <w:bottom w:val="none" w:sz="0" w:space="0" w:color="auto"/>
        <w:right w:val="none" w:sz="0" w:space="0" w:color="auto"/>
      </w:divBdr>
    </w:div>
    <w:div w:id="209836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frosaie new">
      <a:dk1>
        <a:srgbClr val="505150"/>
      </a:dk1>
      <a:lt1>
        <a:sysClr val="window" lastClr="FFFFFF"/>
      </a:lt1>
      <a:dk2>
        <a:srgbClr val="0E2241"/>
      </a:dk2>
      <a:lt2>
        <a:srgbClr val="81C0BC"/>
      </a:lt2>
      <a:accent1>
        <a:srgbClr val="219F96"/>
      </a:accent1>
      <a:accent2>
        <a:srgbClr val="0E2241"/>
      </a:accent2>
      <a:accent3>
        <a:srgbClr val="DA3A56"/>
      </a:accent3>
      <a:accent4>
        <a:srgbClr val="F8A818"/>
      </a:accent4>
      <a:accent5>
        <a:srgbClr val="988C85"/>
      </a:accent5>
      <a:accent6>
        <a:srgbClr val="D0C7BC"/>
      </a:accent6>
      <a:hlink>
        <a:srgbClr val="219F96"/>
      </a:hlink>
      <a:folHlink>
        <a:srgbClr val="0A486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1734</Words>
  <Characters>9888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Sheilla Ngira</cp:lastModifiedBy>
  <cp:revision>2</cp:revision>
  <dcterms:created xsi:type="dcterms:W3CDTF">2023-05-15T12:54:00Z</dcterms:created>
  <dcterms:modified xsi:type="dcterms:W3CDTF">2023-05-15T12:54:00Z</dcterms:modified>
</cp:coreProperties>
</file>